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46" w:rsidRPr="003A2090" w:rsidRDefault="00ED0846" w:rsidP="00ED0846">
      <w:pPr>
        <w:pStyle w:val="Titulo1"/>
        <w:rPr>
          <w:rFonts w:cs="Times New Roman"/>
        </w:rPr>
      </w:pPr>
      <w:bookmarkStart w:id="0" w:name="_GoBack"/>
      <w:bookmarkEnd w:id="0"/>
      <w:r w:rsidRPr="003A2090">
        <w:rPr>
          <w:rFonts w:cs="Times New Roman"/>
        </w:rPr>
        <w:t xml:space="preserve">ACUERDO </w:t>
      </w:r>
      <w:r w:rsidR="000730A0" w:rsidRPr="003A2090">
        <w:rPr>
          <w:rFonts w:cs="Times New Roman"/>
        </w:rPr>
        <w:t xml:space="preserve">del Consejo Nacional del Sistema Nacional de Transparencia, </w:t>
      </w:r>
      <w:r w:rsidR="00895521" w:rsidRPr="003A2090">
        <w:rPr>
          <w:rFonts w:cs="Times New Roman"/>
        </w:rPr>
        <w:t xml:space="preserve">Acceso a </w:t>
      </w:r>
      <w:smartTag w:uri="urn:schemas-microsoft-com:office:smarttags" w:element="PersonName">
        <w:smartTagPr>
          <w:attr w:name="ProductID" w:val="la Información Pública"/>
        </w:smartTagPr>
        <w:r w:rsidR="00895521" w:rsidRPr="003A2090">
          <w:rPr>
            <w:rFonts w:cs="Times New Roman"/>
          </w:rPr>
          <w:t>la Información Pública</w:t>
        </w:r>
      </w:smartTag>
      <w:r w:rsidR="000730A0" w:rsidRPr="003A2090">
        <w:rPr>
          <w:rFonts w:cs="Times New Roman"/>
        </w:rPr>
        <w:t xml:space="preserve"> y Protección de Datos Personales, por el que se aprueban los Lineamientos para la implementación y operación de </w:t>
      </w:r>
      <w:smartTag w:uri="urn:schemas-microsoft-com:office:smarttags" w:element="PersonName">
        <w:smartTagPr>
          <w:attr w:name="ProductID" w:val="la Plataforma Nacional"/>
        </w:smartTagPr>
        <w:r w:rsidR="000730A0" w:rsidRPr="003A2090">
          <w:rPr>
            <w:rFonts w:cs="Times New Roman"/>
          </w:rPr>
          <w:t>la Plataforma Nacional</w:t>
        </w:r>
      </w:smartTag>
      <w:r w:rsidR="000730A0" w:rsidRPr="003A2090">
        <w:rPr>
          <w:rFonts w:cs="Times New Roman"/>
        </w:rPr>
        <w:t xml:space="preserve"> de Transparencia.</w:t>
      </w:r>
    </w:p>
    <w:p w:rsidR="005B35B7" w:rsidRPr="003A2090" w:rsidRDefault="00D30C7B" w:rsidP="000730A0">
      <w:pPr>
        <w:pStyle w:val="Titulo2"/>
        <w:rPr>
          <w:szCs w:val="24"/>
        </w:rPr>
      </w:pPr>
      <w:r w:rsidRPr="003A2090">
        <w:t xml:space="preserve">Al margen un logotipo que dice: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2090">
          <w:t>la Información Pública</w:t>
        </w:r>
      </w:smartTag>
      <w:r w:rsidRPr="003A2090">
        <w:t xml:space="preserve"> y Protección de Datos Personales.- Consejo Nacional.- </w:t>
      </w:r>
      <w:r w:rsidR="00C03201" w:rsidRPr="003A2090">
        <w:rPr>
          <w:szCs w:val="24"/>
        </w:rPr>
        <w:t>CONAIP/SNT/ACUERDO/EXT13/04/2016-06</w:t>
      </w:r>
      <w:r w:rsidR="000730A0" w:rsidRPr="003A2090">
        <w:rPr>
          <w:szCs w:val="24"/>
        </w:rPr>
        <w:t>.</w:t>
      </w:r>
    </w:p>
    <w:p w:rsidR="005B35B7" w:rsidRPr="000730A0" w:rsidRDefault="00C03201" w:rsidP="00C65F2A">
      <w:pPr>
        <w:pStyle w:val="Texto"/>
        <w:spacing w:line="230" w:lineRule="exact"/>
        <w:rPr>
          <w:sz w:val="16"/>
          <w:szCs w:val="24"/>
        </w:rPr>
      </w:pPr>
      <w:r w:rsidRPr="000730A0">
        <w:rPr>
          <w:sz w:val="16"/>
          <w:szCs w:val="24"/>
        </w:rPr>
        <w:t>ACUERDO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DEL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CONSEJO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NACIONAL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DEL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SISTEMA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NACIONAL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TRANSPARENCIA,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ACCESO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A</w:t>
      </w:r>
      <w:r w:rsidR="00ED0846" w:rsidRPr="000730A0">
        <w:rPr>
          <w:sz w:val="16"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0730A0">
          <w:rPr>
            <w:sz w:val="16"/>
            <w:szCs w:val="24"/>
          </w:rPr>
          <w:t>LA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INFORMACIÓN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PÚBLICA</w:t>
        </w:r>
      </w:smartTag>
      <w:r w:rsidRPr="000730A0">
        <w:rPr>
          <w:sz w:val="16"/>
          <w:szCs w:val="24"/>
        </w:rPr>
        <w:t>,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Y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PROTECCIÓN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DATOS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PERSONALES,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POR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EL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QUE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SE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APRUEBAN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LOS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LINEAMIENTOS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PARA</w:t>
      </w:r>
      <w:r w:rsidR="00ED0846" w:rsidRPr="000730A0">
        <w:rPr>
          <w:sz w:val="16"/>
          <w:szCs w:val="24"/>
        </w:rPr>
        <w:t xml:space="preserve"> </w:t>
      </w:r>
      <w:smartTag w:uri="urn:schemas-microsoft-com:office:smarttags" w:element="PersonName">
        <w:smartTagPr>
          <w:attr w:name="ProductID" w:val="LA IMPLEMENTACIￓN Y"/>
        </w:smartTagPr>
        <w:r w:rsidRPr="000730A0">
          <w:rPr>
            <w:sz w:val="16"/>
            <w:szCs w:val="24"/>
          </w:rPr>
          <w:t>LA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IMPLEMENTACIÓN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Y</w:t>
        </w:r>
      </w:smartTag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OPERACIÓN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</w:t>
      </w:r>
      <w:r w:rsidR="00ED0846" w:rsidRPr="000730A0">
        <w:rPr>
          <w:sz w:val="16"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sz w:val="16"/>
            <w:szCs w:val="24"/>
          </w:rPr>
          <w:t>LA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PLATAFORMA</w:t>
        </w:r>
        <w:r w:rsidR="00ED0846" w:rsidRPr="000730A0">
          <w:rPr>
            <w:sz w:val="16"/>
            <w:szCs w:val="24"/>
          </w:rPr>
          <w:t xml:space="preserve"> </w:t>
        </w:r>
        <w:r w:rsidRPr="000730A0">
          <w:rPr>
            <w:sz w:val="16"/>
            <w:szCs w:val="24"/>
          </w:rPr>
          <w:t>NACIONAL</w:t>
        </w:r>
      </w:smartTag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DE</w:t>
      </w:r>
      <w:r w:rsidR="00ED0846" w:rsidRPr="000730A0">
        <w:rPr>
          <w:sz w:val="16"/>
          <w:szCs w:val="24"/>
        </w:rPr>
        <w:t xml:space="preserve"> </w:t>
      </w:r>
      <w:r w:rsidRPr="000730A0">
        <w:rPr>
          <w:sz w:val="16"/>
          <w:szCs w:val="24"/>
        </w:rPr>
        <w:t>TRANSPARENCIA.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10,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citada.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Dictamen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SNT,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5B35B7" w:rsidRPr="003A3C3E" w:rsidRDefault="00C03201" w:rsidP="00C65F2A">
      <w:pPr>
        <w:pStyle w:val="ANOTACION"/>
        <w:spacing w:line="230" w:lineRule="exact"/>
      </w:pPr>
      <w:r w:rsidRPr="003A3C3E">
        <w:t>ACUERDO</w:t>
      </w:r>
    </w:p>
    <w:p w:rsidR="005B35B7" w:rsidRPr="003A3C3E" w:rsidRDefault="00C03201" w:rsidP="00C65F2A">
      <w:pPr>
        <w:pStyle w:val="Texto"/>
        <w:spacing w:line="230" w:lineRule="exact"/>
      </w:pP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aprueban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1"/>
        </w:rPr>
        <w:t>CONAIP/SNT/ACUERDO/EXT13/04/2016-06.</w:t>
      </w:r>
    </w:p>
    <w:p w:rsidR="00C03201" w:rsidRPr="003A3C3E" w:rsidRDefault="00C03201" w:rsidP="00C65F2A">
      <w:pPr>
        <w:pStyle w:val="Texto"/>
        <w:spacing w:line="230" w:lineRule="exact"/>
        <w:rPr>
          <w:b/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Federación.</w:t>
        </w:r>
      </w:smartTag>
    </w:p>
    <w:p w:rsidR="00C03201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instruye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páginas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electrónicas.</w:t>
      </w:r>
    </w:p>
    <w:p w:rsidR="00C03201" w:rsidRPr="003A3C3E" w:rsidRDefault="00C03201" w:rsidP="00C65F2A">
      <w:pPr>
        <w:pStyle w:val="ANOTACION"/>
        <w:spacing w:line="230" w:lineRule="exact"/>
      </w:pPr>
      <w:r w:rsidRPr="003A3C3E">
        <w:t>ANEXO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CONAIP/SNT/ACUERDO/EXT13/04/2016-06</w:t>
      </w:r>
    </w:p>
    <w:p w:rsidR="005B35B7" w:rsidRPr="003A3C3E" w:rsidRDefault="00C03201" w:rsidP="00C65F2A">
      <w:pPr>
        <w:pStyle w:val="ANOTACION"/>
        <w:spacing w:line="230" w:lineRule="exact"/>
      </w:pPr>
      <w:r w:rsidRPr="003A3C3E">
        <w:t>LINEAMIENTOS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MPLEMENTACIￓN Y"/>
        </w:smartTagPr>
        <w:r w:rsidRPr="003A3C3E">
          <w:t>LA</w:t>
        </w:r>
        <w:r w:rsidR="00ED0846" w:rsidRPr="003A3C3E">
          <w:t xml:space="preserve"> </w:t>
        </w:r>
        <w:r w:rsidRPr="003A3C3E">
          <w:t>IMPLEMENTACIÓN</w:t>
        </w:r>
        <w:r w:rsidR="00ED0846" w:rsidRPr="003A3C3E">
          <w:t xml:space="preserve"> </w:t>
        </w:r>
        <w:r w:rsidRPr="003A3C3E">
          <w:t>Y</w:t>
        </w:r>
      </w:smartTag>
      <w:r w:rsidR="00ED0846" w:rsidRPr="003A3C3E">
        <w:t xml:space="preserve"> </w:t>
      </w:r>
      <w:r w:rsidRPr="003A3C3E">
        <w:t>OPERACIÓN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TÍTULO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PRIMERO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DISPOSICIONES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GENERALES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OBJETO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LINEAMIENTOS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promoviendo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homologación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simplicidad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cuerpo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obligatoria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Rep￺blica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República.</w:t>
        </w:r>
      </w:smartTag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por: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Acuse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recibo: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acredita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interpuesto;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Acuerdo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acceso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información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clasificada: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Acuerdo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audiencia: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lugar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avenir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Accesibilidad: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pertinentes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independientemente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cognitivas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lenguaje;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comprenderán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entorno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instalaciones,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inclusive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telecomunicaciones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instalaciones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zonas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urbanas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rurales;</w:t>
      </w:r>
    </w:p>
    <w:p w:rsidR="005B35B7" w:rsidRPr="003A3C3E" w:rsidRDefault="00C03201" w:rsidP="00C65F2A">
      <w:pPr>
        <w:pStyle w:val="Texto"/>
        <w:spacing w:line="237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vigilancia: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5B35B7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Actuaciones: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diligencias,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Áreas: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sector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equivalentes;</w:t>
      </w:r>
    </w:p>
    <w:p w:rsidR="005B35B7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Área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Administración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Direcci￳n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Dirección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homóloga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Bus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servicios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empresariales: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Consiste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combinado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arquitectura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software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arquitecturas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complejas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eventos;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Catálogo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Perfiles: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perfiles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datos;</w:t>
      </w:r>
    </w:p>
    <w:p w:rsidR="005B35B7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Cédula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Única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Registro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Certificado: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reconocer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auténtica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Clave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contraseña: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Comité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Transparencia: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stanci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Instancia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Comisionados: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Comunicados: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denuncia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Configuración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procesos: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requiera;</w:t>
      </w:r>
    </w:p>
    <w:p w:rsidR="00C03201" w:rsidRPr="003A3C3E" w:rsidRDefault="00C03201" w:rsidP="00C65F2A">
      <w:pPr>
        <w:pStyle w:val="Texto"/>
        <w:spacing w:line="237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Consejos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consultivos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colegiados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consejeros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honoríficos,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Costos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envío: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cubrirse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Pr="003A3C3E">
        <w:rPr>
          <w:b/>
          <w:szCs w:val="24"/>
        </w:rPr>
        <w:t>;</w:t>
      </w:r>
    </w:p>
    <w:p w:rsidR="00C03201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Coordinación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secretariado: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presidir,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5B35B7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Costos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reproducción: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aprovechamientos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códigos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aplicables;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Datos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abiertos</w:t>
      </w:r>
      <w:r w:rsidRPr="003A3C3E">
        <w:rPr>
          <w:szCs w:val="24"/>
          <w:lang w:val="es-ES_tradnl"/>
        </w:rPr>
        <w:t>: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línea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reutilizados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redistribuidos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interesado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características: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Accesibles: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propósito;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b)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Integrales: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detalle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c)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Gratuitos: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cambio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contraprestación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alguna;</w:t>
      </w:r>
    </w:p>
    <w:p w:rsidR="00C03201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d)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discriminatorios: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e)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Oportunos: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periódicamente,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generen;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f)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Permanentes: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relevantes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g)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Primarios: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Provienen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máximo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desagregación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posible;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h)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Legibles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máquinas: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parcialmente,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automática;</w:t>
      </w:r>
    </w:p>
    <w:p w:rsidR="005B35B7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i)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lógica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dificultad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contraprestación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alguna;</w:t>
      </w:r>
    </w:p>
    <w:p w:rsidR="00C03201" w:rsidRPr="003A3C3E" w:rsidRDefault="00C03201" w:rsidP="00C65F2A">
      <w:pPr>
        <w:pStyle w:val="Texto"/>
        <w:spacing w:line="232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j)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libremente.</w:t>
      </w:r>
    </w:p>
    <w:p w:rsidR="00C03201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Destinatario: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Aquel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5B35B7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Días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hábiles: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sábados,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domingos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calendario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labores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calendario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periódico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causas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requiera;</w:t>
      </w:r>
    </w:p>
    <w:p w:rsidR="00C03201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Ficha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Recurso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Revisión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descriptivos;</w:t>
      </w:r>
    </w:p>
    <w:p w:rsidR="00C03201" w:rsidRPr="003A3C3E" w:rsidRDefault="00C03201" w:rsidP="00C65F2A">
      <w:pPr>
        <w:pStyle w:val="Texto"/>
        <w:spacing w:line="22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Firma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electrónica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exclusivo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detectable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ulterior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Instituto: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Ley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Federal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Ley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Ley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Local: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armonizadas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Lineamientos: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XXXII.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Metadato: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contexto,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sirven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identificarlos,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búsqueda,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acceso.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XXXIII.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SISAI: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manual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SISAI: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designadas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inscribe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Portal: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70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83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Integración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Información: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administración: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Módulo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control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acceso: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Nombre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palabras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combinación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contraseña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Notificaciones: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adoptada;</w:t>
      </w:r>
    </w:p>
    <w:p w:rsidR="005B35B7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Perfil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asociado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Personal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habilitado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C03201" w:rsidRPr="003A3C3E" w:rsidRDefault="00C03201" w:rsidP="00C65F2A">
      <w:pPr>
        <w:pStyle w:val="Texto"/>
        <w:spacing w:line="232" w:lineRule="exact"/>
        <w:ind w:left="1008" w:hanging="720"/>
        <w:rPr>
          <w:szCs w:val="24"/>
          <w:u w:val="single"/>
        </w:rPr>
      </w:pPr>
      <w:r w:rsidRPr="00225454">
        <w:rPr>
          <w:b/>
          <w:szCs w:val="24"/>
          <w:lang w:val="es-MX"/>
        </w:rPr>
        <w:lastRenderedPageBreak/>
        <w:t>XLIII.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Plataforma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Nacional: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49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  <w:u w:val="single"/>
        </w:rPr>
        <w:t>www.plataformadetransparencia.org.mx;</w:t>
      </w:r>
    </w:p>
    <w:p w:rsidR="005B35B7" w:rsidRPr="003A3C3E" w:rsidRDefault="00C03201" w:rsidP="00C65F2A">
      <w:pPr>
        <w:pStyle w:val="Texto"/>
        <w:spacing w:line="23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Organismos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garantes: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autonomía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="0086398B">
        <w:rPr>
          <w:szCs w:val="24"/>
        </w:rPr>
        <w:t>6o.</w:t>
      </w:r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116,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122,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inciso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ñ)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Constitución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Política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Mexicanos;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37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XLV.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Recepción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solicitudes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acceso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información: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XLVI.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Remitente: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Aquel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XLVII.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Secretario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Ejecutivo: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designado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Sistema: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SICOM: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SIGEMI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SIPOT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SISAI: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Sistema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Nacional: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Solicitante: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cancelación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acceso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información: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acceso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datos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personales: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rectificación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datos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personales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rectificar;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cancelación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datos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personales: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cancelar;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oposición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datos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personales: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oposición;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Solicitud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múltiple: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simultánea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máximo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gobierno,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LXI.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Sujetos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obligados: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Judicial,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autónomos,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fideicomisos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sindicato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Loc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Local</w:t>
        </w:r>
      </w:smartTag>
      <w:r w:rsidRPr="003A3C3E">
        <w:rPr>
          <w:szCs w:val="24"/>
        </w:rPr>
        <w:t>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LXII.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Transacción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comunicado;</w:t>
      </w:r>
    </w:p>
    <w:p w:rsidR="00C03201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LXIII.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Unidades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Transparencia: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45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2" w:line="22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lastRenderedPageBreak/>
        <w:t>LXIV.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Versión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Pública: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elimina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clasificadas.</w:t>
      </w:r>
    </w:p>
    <w:p w:rsidR="005B35B7" w:rsidRPr="003A3C3E" w:rsidRDefault="00C03201" w:rsidP="00C65F2A">
      <w:pPr>
        <w:pStyle w:val="Texto"/>
        <w:spacing w:after="92" w:line="224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plazos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fijados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días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presentes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lineamientos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deberán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entenderse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como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hábiles.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ningún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caso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se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podrán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reducir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ampliar,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la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normativa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federal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y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las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entidades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federativas,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plazos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establecidos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  <w:lang w:val="es-ES_tradnl"/>
          </w:rPr>
          <w:t>la</w:t>
        </w:r>
        <w:r w:rsidR="00ED0846" w:rsidRPr="003A3C3E">
          <w:rPr>
            <w:szCs w:val="24"/>
            <w:lang w:val="es-ES_tradnl"/>
          </w:rPr>
          <w:t xml:space="preserve"> </w:t>
        </w:r>
        <w:r w:rsidRPr="003A3C3E">
          <w:rPr>
            <w:szCs w:val="24"/>
            <w:lang w:val="es-ES_tradnl"/>
          </w:rPr>
          <w:t>Ley</w:t>
        </w:r>
        <w:r w:rsidR="00ED0846" w:rsidRPr="003A3C3E">
          <w:rPr>
            <w:szCs w:val="24"/>
            <w:lang w:val="es-ES_tradnl"/>
          </w:rPr>
          <w:t xml:space="preserve"> </w:t>
        </w:r>
        <w:r w:rsidRPr="003A3C3E">
          <w:rPr>
            <w:szCs w:val="24"/>
            <w:lang w:val="es-ES_tradnl"/>
          </w:rPr>
          <w:t>General</w:t>
        </w:r>
      </w:smartTag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perjuicio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solicitantes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información.</w:t>
      </w:r>
      <w:r w:rsidR="00ED0846" w:rsidRPr="003A3C3E">
        <w:rPr>
          <w:szCs w:val="2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  <w:lang w:val="es-ES_tradnl"/>
          </w:rPr>
          <w:t>La</w:t>
        </w:r>
        <w:r w:rsidR="00ED0846" w:rsidRPr="003A3C3E">
          <w:rPr>
            <w:szCs w:val="24"/>
            <w:lang w:val="es-ES_tradnl"/>
          </w:rPr>
          <w:t xml:space="preserve"> </w:t>
        </w:r>
        <w:r w:rsidRPr="003A3C3E">
          <w:rPr>
            <w:szCs w:val="24"/>
            <w:lang w:val="es-ES_tradnl"/>
          </w:rPr>
          <w:t>Plataforma</w:t>
        </w:r>
        <w:r w:rsidR="00ED0846" w:rsidRPr="003A3C3E">
          <w:rPr>
            <w:szCs w:val="24"/>
            <w:lang w:val="es-ES_tradnl"/>
          </w:rPr>
          <w:t xml:space="preserve"> </w:t>
        </w:r>
        <w:r w:rsidRPr="003A3C3E">
          <w:rPr>
            <w:szCs w:val="24"/>
            <w:lang w:val="es-ES_tradnl"/>
          </w:rPr>
          <w:t>Nacional</w:t>
        </w:r>
      </w:smartTag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emitirá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acuses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recibo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señalando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los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plazos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en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términos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  <w:lang w:val="es-ES_tradnl"/>
        </w:rPr>
        <w:t>de</w:t>
      </w:r>
      <w:r w:rsidR="00ED0846" w:rsidRPr="003A3C3E">
        <w:rPr>
          <w:szCs w:val="2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  <w:lang w:val="es-ES_tradnl"/>
          </w:rPr>
          <w:t>la</w:t>
        </w:r>
        <w:r w:rsidR="00ED0846" w:rsidRPr="003A3C3E">
          <w:rPr>
            <w:szCs w:val="24"/>
            <w:lang w:val="es-ES_tradnl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Pr="003A3C3E">
        <w:rPr>
          <w:szCs w:val="24"/>
          <w:lang w:val="es-ES_tradnl"/>
        </w:rPr>
        <w:t>.</w:t>
      </w:r>
    </w:p>
    <w:p w:rsidR="00C03201" w:rsidRPr="000730A0" w:rsidRDefault="00C03201" w:rsidP="00C65F2A">
      <w:pPr>
        <w:pStyle w:val="Texto"/>
        <w:spacing w:line="243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</w:t>
      </w:r>
    </w:p>
    <w:p w:rsidR="005B35B7" w:rsidRPr="000730A0" w:rsidRDefault="00C03201" w:rsidP="00C65F2A">
      <w:pPr>
        <w:pStyle w:val="Texto"/>
        <w:spacing w:line="243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GENERALIDADES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PLATAFORMA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NACIONAL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tutela,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repositorio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obligatoria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desarrollarán,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administrarán,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sistemas:</w:t>
      </w:r>
    </w:p>
    <w:p w:rsidR="00C03201" w:rsidRPr="003A3C3E" w:rsidRDefault="00C03201" w:rsidP="00C65F2A">
      <w:pPr>
        <w:pStyle w:val="Texto"/>
        <w:spacing w:line="24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(SISAI);</w:t>
      </w:r>
    </w:p>
    <w:p w:rsidR="00C03201" w:rsidRPr="003A3C3E" w:rsidRDefault="00C03201" w:rsidP="00C65F2A">
      <w:pPr>
        <w:pStyle w:val="Texto"/>
        <w:spacing w:line="24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(SIGEMI);</w:t>
      </w:r>
    </w:p>
    <w:p w:rsidR="00C03201" w:rsidRPr="003A3C3E" w:rsidRDefault="00C03201" w:rsidP="00C65F2A">
      <w:pPr>
        <w:pStyle w:val="Texto"/>
        <w:spacing w:line="24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(SIPOT),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4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(SICOM).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tramitadas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promoverán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Editables.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tecnológicas,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incorporarán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principal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vínculo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sencilla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Décimo.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Capacitación,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Educación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Cultura,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ambas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diseñarán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talleres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aprendizaje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5B35B7" w:rsidRPr="003A3C3E" w:rsidRDefault="00C03201" w:rsidP="00C65F2A">
      <w:pPr>
        <w:pStyle w:val="Texto"/>
        <w:spacing w:line="243" w:lineRule="exact"/>
        <w:rPr>
          <w:b/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coadyuvante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magnitud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responsabilidades.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impedimento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temporal,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fortuito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impedimento;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line="24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periódica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mismos.</w:t>
      </w:r>
    </w:p>
    <w:p w:rsidR="00C03201" w:rsidRPr="000730A0" w:rsidRDefault="00C03201" w:rsidP="00C65F2A">
      <w:pPr>
        <w:pStyle w:val="Texto"/>
        <w:spacing w:after="94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III</w:t>
      </w:r>
    </w:p>
    <w:p w:rsidR="005B35B7" w:rsidRPr="000730A0" w:rsidRDefault="00C03201" w:rsidP="00C65F2A">
      <w:pPr>
        <w:pStyle w:val="Texto"/>
        <w:spacing w:after="94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CONFIGURACIÓN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PLATAFORMA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NACIONAL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administrativas.</w:t>
      </w:r>
    </w:p>
    <w:p w:rsidR="00C03201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Vigésimo.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atiendan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General.</w:t>
        </w:r>
      </w:smartTag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apoyo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Temas;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Subtemas;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Sectores;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locales;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Criterios;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Metodología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evaluación;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Periodos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evaluación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formal;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Asignación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after="94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diseño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: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Procedimiento;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Calendarios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inhábiles;</w:t>
      </w:r>
    </w:p>
    <w:p w:rsidR="00C03201" w:rsidRPr="003A3C3E" w:rsidRDefault="00C03201" w:rsidP="00C65F2A">
      <w:pPr>
        <w:pStyle w:val="Texto"/>
        <w:spacing w:after="94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Pantallas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captura;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Recibos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aplique;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electrónico;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Mensajes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SMS,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Rangos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control.</w:t>
      </w:r>
    </w:p>
    <w:p w:rsidR="00C03201" w:rsidRPr="000730A0" w:rsidRDefault="00C03201" w:rsidP="00C65F2A">
      <w:pPr>
        <w:pStyle w:val="Texto"/>
        <w:spacing w:after="80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IV</w:t>
      </w:r>
    </w:p>
    <w:p w:rsidR="005B35B7" w:rsidRPr="000730A0" w:rsidRDefault="00C03201" w:rsidP="00C65F2A">
      <w:pPr>
        <w:pStyle w:val="Texto"/>
        <w:spacing w:after="80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ADMINISTRACIÓN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PLATAFORMA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NACIONAL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múltiples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5B35B7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Administración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;</w:t>
      </w:r>
    </w:p>
    <w:p w:rsidR="005B35B7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Administración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Estatal.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Administración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por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Sujeto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existentes,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de: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garantes;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80"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Procedimientos.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contingencias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fortuitos.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vigilar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Trigésimo.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desastres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contingencias.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respaldos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C03201" w:rsidRPr="000730A0" w:rsidRDefault="00C03201" w:rsidP="00C65F2A">
      <w:pPr>
        <w:pStyle w:val="Texto"/>
        <w:spacing w:after="80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V</w:t>
      </w:r>
    </w:p>
    <w:p w:rsidR="005B35B7" w:rsidRPr="000730A0" w:rsidRDefault="00C03201" w:rsidP="00C65F2A">
      <w:pPr>
        <w:pStyle w:val="Texto"/>
        <w:spacing w:after="80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USO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PLATAFORMA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NACIONAL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lastRenderedPageBreak/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Transitorios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Octavo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Décimo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General.</w:t>
        </w:r>
      </w:smartTag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contraseña.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cómputo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móviles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Internet.</w:t>
      </w:r>
    </w:p>
    <w:p w:rsidR="005B35B7" w:rsidRPr="003A3C3E" w:rsidRDefault="00C03201" w:rsidP="00C65F2A">
      <w:pPr>
        <w:pStyle w:val="Texto"/>
        <w:spacing w:after="80" w:line="224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población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70,000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habitantes,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Entidad Federativ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Entidad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Federativa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búsqueda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subsidiarios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VI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INTEROPERABILIDAD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PLATAFORMA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NACIONAL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web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empresariales.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exportar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requiera.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VII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SOPORTE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TÉCNICO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administración: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a)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Primer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atención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cómputo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comunicaciones;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b)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Segundo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nivel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atención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incorporar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c)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Tercer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nivel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atención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mejoras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problemas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Sólo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estipular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exclusivamente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locales.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regreso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TÍTULO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SEGUNDO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SOLICITUDES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ACCESO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INFORMACIÓN</w:t>
        </w:r>
      </w:smartTag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GENERALIDADES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SOLICITUDES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ACCESO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INFORMACIÓN</w:t>
        </w:r>
      </w:smartTag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Cuadragésimo.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General.</w:t>
        </w:r>
      </w:smartTag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lastRenderedPageBreak/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múltiples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órdenes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gobierno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apoyar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éstas.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procesarlas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independientemente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surtirán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practiquen,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="0086398B">
        <w:rPr>
          <w:szCs w:val="24"/>
        </w:rPr>
        <w:t>Tí</w:t>
      </w:r>
      <w:r w:rsidRPr="003A3C3E">
        <w:rPr>
          <w:szCs w:val="24"/>
        </w:rPr>
        <w:t>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empezarán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practiquen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Primero.</w:t>
      </w:r>
    </w:p>
    <w:p w:rsidR="00C03201" w:rsidRPr="000730A0" w:rsidRDefault="00C03201" w:rsidP="00C65F2A">
      <w:pPr>
        <w:pStyle w:val="Texto"/>
        <w:spacing w:after="82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</w:t>
      </w:r>
    </w:p>
    <w:p w:rsidR="005B35B7" w:rsidRPr="000730A0" w:rsidRDefault="00C03201" w:rsidP="00C65F2A">
      <w:pPr>
        <w:pStyle w:val="Texto"/>
        <w:spacing w:after="82"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PROCEDIMIENTO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SOLICITUDES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ACCESO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INFORMACIÓN</w:t>
        </w:r>
      </w:smartTag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designadas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telégrafo,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verbalmente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acepta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telégrafo,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verbal,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telefónica,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oír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cinco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imposible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Centros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Telefónica,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conducente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Cuarto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peticiones.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después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b/>
          <w:szCs w:val="24"/>
        </w:rPr>
        <w:t>Quincuagésimo.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cubrirse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de:</w:t>
      </w:r>
    </w:p>
    <w:p w:rsidR="00C03201" w:rsidRPr="003A3C3E" w:rsidRDefault="00C03201" w:rsidP="00C65F2A">
      <w:pPr>
        <w:pStyle w:val="Texto"/>
        <w:spacing w:after="82" w:line="224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after="82" w:line="224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82" w:line="224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proceda.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cuotas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fijar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bancaria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exclusivamente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íntegro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solicitó.</w:t>
      </w:r>
    </w:p>
    <w:p w:rsidR="005B35B7" w:rsidRPr="003A3C3E" w:rsidRDefault="00C03201" w:rsidP="00C65F2A">
      <w:pPr>
        <w:pStyle w:val="Texto"/>
        <w:spacing w:after="82" w:line="224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cuotas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veinte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hojas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simples.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exceptuar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circunstancias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socioeconómicas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expuestas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interesado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máximo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veinte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aquélla.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procurarán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hablantes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lengua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indígena,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discapacidad,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humano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manifieste,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lugar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individual,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absteniéndose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aquéllas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morales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solidarios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III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REQUERIMIENTOS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MATERIALES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infraestructura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tecnológica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cómputo,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impresora,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requieran.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operar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C03201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IV</w:t>
      </w:r>
    </w:p>
    <w:p w:rsidR="005B35B7" w:rsidRPr="000730A0" w:rsidRDefault="00C03201" w:rsidP="00C65F2A">
      <w:pPr>
        <w:pStyle w:val="Texto"/>
        <w:spacing w:line="230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TRÁMITE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LAS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SOLICITUDES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ACCESO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INFORMACIÓN</w:t>
        </w:r>
      </w:smartTag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decreto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estatutos,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equivalente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detalles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insuficientes,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incompletos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erróneos,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  <w:lang w:val="es-ES_tradnl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corrija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precise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lastRenderedPageBreak/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párrafo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interrumpirá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tramitación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comenzará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computarse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parcialmente,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atiendan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indispensable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decreto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estatutos,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equivalentes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notoriamente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incompetente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ordinario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competentes.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parcialmente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atenderla,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ordinario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saber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cinco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lugar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adquirir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proceda.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138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motivadas,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vencimiento.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privilegiará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privilegiar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ofrecer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proceda.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otorguen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32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lugar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proceda.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treinta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comenzará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szCs w:val="24"/>
        </w:rPr>
        <w:t>Transcurridos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plazos,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acredite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procederán,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reprodujo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derechos,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comprobación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C03201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TÍTULO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TERCERO</w:t>
      </w:r>
    </w:p>
    <w:p w:rsidR="005B35B7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GESTIÓN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MEDIOS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IMPUGNACIÓN</w:t>
      </w:r>
    </w:p>
    <w:p w:rsidR="00C03201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</w:t>
      </w:r>
    </w:p>
    <w:p w:rsidR="005B35B7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GENERALIDADES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GESTIÓN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MEDIOS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IMPUGNACIÓN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interpuestos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Sexagésimo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Septuagésimo.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5B35B7" w:rsidRPr="003A3C3E" w:rsidRDefault="00C03201" w:rsidP="00C65F2A">
      <w:pPr>
        <w:pStyle w:val="Texto"/>
        <w:spacing w:after="82"/>
        <w:rPr>
          <w:b/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acredite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C03201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</w:t>
      </w:r>
    </w:p>
    <w:p w:rsidR="005B35B7" w:rsidRPr="000730A0" w:rsidRDefault="00C03201" w:rsidP="00C65F2A">
      <w:pPr>
        <w:pStyle w:val="Texto"/>
        <w:spacing w:after="82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RECURSO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REVISIÓN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Loc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Local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vínculo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clic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redireccionará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contraseña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sistema.</w:t>
      </w:r>
    </w:p>
    <w:p w:rsidR="005B35B7" w:rsidRPr="003A3C3E" w:rsidRDefault="00C03201" w:rsidP="00C65F2A">
      <w:pPr>
        <w:pStyle w:val="Texto"/>
        <w:spacing w:after="82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cuál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interpone.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campos: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solicitud;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2.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interesado,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notificaciones;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3.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4.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reclamado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solicitud;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5.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recurre;</w:t>
      </w:r>
    </w:p>
    <w:p w:rsidR="00C03201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6.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after="82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7.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copia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ilimitada.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Loc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Local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precede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después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advertir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septuagésimo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septuagésimo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advertir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ich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Ficha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litis,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opciones: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2.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declaración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inexistencia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3.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declaración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incompetencia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4.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incompleta;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5.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solicitado;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6.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ley;</w:t>
      </w:r>
    </w:p>
    <w:p w:rsidR="005B35B7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7.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solicitado;</w:t>
      </w:r>
    </w:p>
    <w:p w:rsidR="005B35B7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8.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incomprensible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9.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10.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solicitud;</w:t>
      </w:r>
    </w:p>
    <w:p w:rsidR="005B35B7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11.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negativa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12.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deficiencia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insuficiencia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respuesta;</w:t>
      </w:r>
    </w:p>
    <w:p w:rsidR="00C03201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13.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2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14.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Diversos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agravios.</w:t>
      </w:r>
    </w:p>
    <w:p w:rsidR="005B35B7" w:rsidRPr="003A3C3E" w:rsidRDefault="00C03201" w:rsidP="00C65F2A">
      <w:pPr>
        <w:pStyle w:val="Texto"/>
        <w:spacing w:line="220" w:lineRule="exact"/>
        <w:rPr>
          <w:szCs w:val="24"/>
        </w:rPr>
      </w:pP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notoriamente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improcedente,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litis,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15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desecha,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143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numeral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Septuagésimo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advierte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reconducido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correcta,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naturaleza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requerida.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advertir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reconducido;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embargo,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alterado.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reconducir,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advierta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reconducido,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septuagésimo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sustituido.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recusen,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returno.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returno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returno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opciones:</w:t>
      </w:r>
    </w:p>
    <w:p w:rsidR="00C03201" w:rsidRPr="003A3C3E" w:rsidRDefault="00C03201" w:rsidP="00C65F2A">
      <w:pPr>
        <w:pStyle w:val="Texto"/>
        <w:spacing w:line="246" w:lineRule="exact"/>
        <w:ind w:left="1008" w:hanging="720"/>
        <w:rPr>
          <w:szCs w:val="24"/>
        </w:rPr>
      </w:pPr>
      <w:r w:rsidRPr="003A3C3E">
        <w:rPr>
          <w:b/>
          <w:szCs w:val="24"/>
        </w:rPr>
        <w:t>1.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previene;</w:t>
      </w:r>
    </w:p>
    <w:p w:rsidR="00C03201" w:rsidRPr="003A3C3E" w:rsidRDefault="00C03201" w:rsidP="00C65F2A">
      <w:pPr>
        <w:pStyle w:val="Texto"/>
        <w:spacing w:line="246" w:lineRule="exact"/>
        <w:ind w:left="1008" w:hanging="720"/>
        <w:rPr>
          <w:szCs w:val="24"/>
        </w:rPr>
      </w:pPr>
      <w:r w:rsidRPr="003A3C3E">
        <w:rPr>
          <w:b/>
          <w:szCs w:val="24"/>
        </w:rPr>
        <w:t>2.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46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3.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desecha.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última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desecha.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editable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</w:t>
      </w:r>
      <w:r w:rsidR="0086398B">
        <w:rPr>
          <w:szCs w:val="24"/>
        </w:rPr>
        <w:t>ó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suscribirse.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acuse.</w:t>
      </w:r>
    </w:p>
    <w:p w:rsidR="005B35B7" w:rsidRPr="003A3C3E" w:rsidRDefault="00C03201" w:rsidP="00C65F2A">
      <w:pPr>
        <w:pStyle w:val="Texto"/>
        <w:spacing w:line="246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cuál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opciones:</w:t>
      </w:r>
    </w:p>
    <w:p w:rsidR="00C03201" w:rsidRPr="003A3C3E" w:rsidRDefault="00C03201" w:rsidP="00C65F2A">
      <w:pPr>
        <w:pStyle w:val="Texto"/>
        <w:spacing w:line="22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forma;</w:t>
      </w:r>
    </w:p>
    <w:p w:rsidR="00C03201" w:rsidRPr="003A3C3E" w:rsidRDefault="00C03201" w:rsidP="00C65F2A">
      <w:pPr>
        <w:pStyle w:val="Texto"/>
        <w:spacing w:line="22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2.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respuesta;</w:t>
      </w:r>
    </w:p>
    <w:p w:rsidR="00C03201" w:rsidRPr="003A3C3E" w:rsidRDefault="00C03201" w:rsidP="00C65F2A">
      <w:pPr>
        <w:pStyle w:val="Texto"/>
        <w:spacing w:line="22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3.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2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4.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incorrectamente.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cambia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desechado”.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elije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cambia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admite”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contraseña,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desee.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registrados.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alcances,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siempre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similar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idéntico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antiguo,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rechazar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importar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cuál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Octogésimo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acumulador.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contraseña.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Nonagésimo.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también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celebrar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clasificada”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celebración”,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editable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="0086398B">
        <w:rPr>
          <w:szCs w:val="24"/>
        </w:rPr>
        <w:t>só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suscribirse.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agregará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reloj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editable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suscribirse.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párrafo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semáforos.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supuesto,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rendir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editable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suscribirse.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suscrito.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“Listar”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corresponda.</w:t>
      </w:r>
    </w:p>
    <w:p w:rsidR="005B35B7" w:rsidRPr="003A3C3E" w:rsidRDefault="00C03201" w:rsidP="00C65F2A">
      <w:pPr>
        <w:pStyle w:val="Texto"/>
        <w:spacing w:line="244" w:lineRule="exact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campos: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1.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2.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votación;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3.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Sentido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resolución:</w:t>
      </w:r>
    </w:p>
    <w:p w:rsidR="00C03201" w:rsidRPr="003A3C3E" w:rsidRDefault="00C03201" w:rsidP="00C65F2A">
      <w:pPr>
        <w:pStyle w:val="Texto"/>
        <w:spacing w:line="23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Desechamiento;</w:t>
      </w:r>
    </w:p>
    <w:p w:rsidR="00C03201" w:rsidRPr="003A3C3E" w:rsidRDefault="00C03201" w:rsidP="00C65F2A">
      <w:pPr>
        <w:pStyle w:val="Texto"/>
        <w:spacing w:line="23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b)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Sobreseimiento;</w:t>
      </w:r>
    </w:p>
    <w:p w:rsidR="00C03201" w:rsidRPr="003A3C3E" w:rsidRDefault="00C03201" w:rsidP="00C65F2A">
      <w:pPr>
        <w:pStyle w:val="Texto"/>
        <w:spacing w:line="23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c)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Confirmación;</w:t>
      </w:r>
    </w:p>
    <w:p w:rsidR="005B35B7" w:rsidRPr="003A3C3E" w:rsidRDefault="00C03201" w:rsidP="00C65F2A">
      <w:pPr>
        <w:pStyle w:val="Texto"/>
        <w:spacing w:line="23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d)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Modificación,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3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e)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Revocación.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4.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engrose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engrose;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5.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Votos;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6.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Recusaciones;</w:t>
      </w:r>
    </w:p>
    <w:p w:rsidR="00C03201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7.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Excusas,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8.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Returno.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“diferido”.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párrafo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votos,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suscribirla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suscrita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autógrafa,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“Notificaciones”.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hubiera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también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clic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“publicar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sentido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revocación,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especificar,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iniciará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cumplimiento”.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Además,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semáforos.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acreditado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cumplió.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opciones:</w:t>
      </w:r>
    </w:p>
    <w:p w:rsidR="00C03201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cumplimiento;</w:t>
      </w:r>
    </w:p>
    <w:p w:rsidR="00C03201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insuficientes,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30" w:lineRule="exact"/>
        <w:rPr>
          <w:szCs w:val="24"/>
        </w:rPr>
      </w:pPr>
      <w:r w:rsidRPr="003A3C3E">
        <w:rPr>
          <w:b/>
          <w:szCs w:val="24"/>
        </w:rPr>
        <w:t>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amparo.</w:t>
      </w:r>
    </w:p>
    <w:p w:rsidR="005B35B7" w:rsidRPr="003A3C3E" w:rsidRDefault="00C03201" w:rsidP="00C65F2A">
      <w:pPr>
        <w:pStyle w:val="Texto"/>
        <w:spacing w:line="233" w:lineRule="exact"/>
        <w:rPr>
          <w:szCs w:val="24"/>
        </w:rPr>
      </w:pPr>
      <w:r w:rsidRPr="003A3C3E">
        <w:rPr>
          <w:szCs w:val="24"/>
        </w:rPr>
        <w:t>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alerta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</w:p>
    <w:p w:rsidR="005B35B7" w:rsidRPr="003A3C3E" w:rsidRDefault="00C03201" w:rsidP="00C65F2A">
      <w:pPr>
        <w:pStyle w:val="Texto"/>
        <w:spacing w:line="233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“cumplimiento”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“comunicaciones”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manifestación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cumplimiento.</w:t>
      </w:r>
    </w:p>
    <w:p w:rsidR="00C03201" w:rsidRPr="00C65F2A" w:rsidRDefault="00C03201" w:rsidP="00C65F2A">
      <w:pPr>
        <w:pStyle w:val="Texto"/>
        <w:spacing w:line="233" w:lineRule="exact"/>
        <w:ind w:firstLine="0"/>
        <w:jc w:val="center"/>
        <w:rPr>
          <w:b/>
          <w:szCs w:val="24"/>
        </w:rPr>
      </w:pPr>
      <w:r w:rsidRPr="00C65F2A">
        <w:rPr>
          <w:b/>
          <w:szCs w:val="24"/>
        </w:rPr>
        <w:t>CAPÍTULO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III</w:t>
      </w:r>
    </w:p>
    <w:p w:rsidR="005B35B7" w:rsidRPr="00C65F2A" w:rsidRDefault="00C03201" w:rsidP="00C65F2A">
      <w:pPr>
        <w:pStyle w:val="Texto"/>
        <w:spacing w:line="233" w:lineRule="exact"/>
        <w:ind w:firstLine="0"/>
        <w:jc w:val="center"/>
        <w:rPr>
          <w:b/>
          <w:szCs w:val="24"/>
        </w:rPr>
      </w:pPr>
      <w:r w:rsidRPr="00C65F2A">
        <w:rPr>
          <w:b/>
          <w:szCs w:val="24"/>
        </w:rPr>
        <w:t>DEL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RECURSO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DE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INCONFORMIDAD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ANTE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EL</w:t>
      </w:r>
      <w:r w:rsidR="00ED0846" w:rsidRPr="00C65F2A">
        <w:rPr>
          <w:b/>
          <w:szCs w:val="24"/>
        </w:rPr>
        <w:t xml:space="preserve"> </w:t>
      </w:r>
      <w:r w:rsidRPr="00C65F2A">
        <w:rPr>
          <w:b/>
          <w:szCs w:val="24"/>
        </w:rPr>
        <w:t>INSTITUTO</w:t>
      </w:r>
    </w:p>
    <w:p w:rsidR="005B35B7" w:rsidRPr="003A3C3E" w:rsidRDefault="00C03201" w:rsidP="00C65F2A">
      <w:pPr>
        <w:pStyle w:val="Texto"/>
        <w:spacing w:line="233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interponer,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inconformidad”.</w:t>
      </w:r>
    </w:p>
    <w:p w:rsidR="005B35B7" w:rsidRPr="003A3C3E" w:rsidRDefault="00C03201" w:rsidP="00C65F2A">
      <w:pPr>
        <w:pStyle w:val="Texto"/>
        <w:spacing w:line="233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requisitar:</w:t>
      </w:r>
    </w:p>
    <w:p w:rsidR="00C03201" w:rsidRPr="003A3C3E" w:rsidRDefault="00C03201" w:rsidP="00C65F2A">
      <w:pPr>
        <w:pStyle w:val="Texto"/>
        <w:spacing w:line="23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inconforme:</w:t>
      </w:r>
    </w:p>
    <w:p w:rsidR="005B35B7" w:rsidRPr="003A3C3E" w:rsidRDefault="00C03201" w:rsidP="00C65F2A">
      <w:pPr>
        <w:pStyle w:val="Texto"/>
        <w:spacing w:line="233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inconforme.</w:t>
      </w:r>
    </w:p>
    <w:p w:rsidR="005B35B7" w:rsidRPr="003A3C3E" w:rsidRDefault="00C03201" w:rsidP="00C65F2A">
      <w:pPr>
        <w:pStyle w:val="Texto"/>
        <w:spacing w:line="23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interesado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caso):</w:t>
      </w:r>
    </w:p>
    <w:p w:rsidR="00C03201" w:rsidRPr="003A3C3E" w:rsidRDefault="00C03201" w:rsidP="00C65F2A">
      <w:pPr>
        <w:pStyle w:val="Texto"/>
        <w:spacing w:line="233" w:lineRule="exact"/>
        <w:ind w:left="1440" w:hanging="432"/>
        <w:rPr>
          <w:szCs w:val="24"/>
        </w:rPr>
      </w:pPr>
      <w:r w:rsidRPr="003A3C3E">
        <w:rPr>
          <w:szCs w:val="24"/>
        </w:rPr>
        <w:t>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apellido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paterno,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apellido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nombre;</w:t>
      </w:r>
    </w:p>
    <w:p w:rsidR="00C03201" w:rsidRPr="003A3C3E" w:rsidRDefault="00C03201" w:rsidP="00C65F2A">
      <w:pPr>
        <w:pStyle w:val="Texto"/>
        <w:spacing w:line="233" w:lineRule="exact"/>
        <w:ind w:left="1440" w:hanging="432"/>
        <w:rPr>
          <w:szCs w:val="24"/>
        </w:rPr>
      </w:pPr>
      <w:r w:rsidRPr="003A3C3E">
        <w:rPr>
          <w:szCs w:val="24"/>
        </w:rPr>
        <w:t>b)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opcional: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b.1)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Calle;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b.2)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exterior/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interior;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b.3)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Colonia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fraccionamiento;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b.4)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Delegación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b.5)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b.6)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País,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b.7)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Código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Postal.</w:t>
      </w:r>
    </w:p>
    <w:p w:rsidR="00C03201" w:rsidRPr="003A3C3E" w:rsidRDefault="00C03201" w:rsidP="00C65F2A">
      <w:pPr>
        <w:pStyle w:val="Texto"/>
        <w:spacing w:line="23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sólo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C03201" w:rsidRPr="003A3C3E" w:rsidRDefault="00C03201" w:rsidP="00C65F2A">
      <w:pPr>
        <w:pStyle w:val="Texto"/>
        <w:spacing w:line="233" w:lineRule="exact"/>
        <w:ind w:left="1008" w:firstLine="0"/>
        <w:rPr>
          <w:szCs w:val="24"/>
        </w:rPr>
      </w:pPr>
      <w:r w:rsidRPr="003A3C3E">
        <w:rPr>
          <w:szCs w:val="24"/>
        </w:rPr>
        <w:lastRenderedPageBreak/>
        <w:t>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representante: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domicilio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costo);</w:t>
      </w:r>
    </w:p>
    <w:p w:rsidR="00C03201" w:rsidRPr="003A3C3E" w:rsidRDefault="00C03201" w:rsidP="00C65F2A">
      <w:pPr>
        <w:pStyle w:val="Texto"/>
        <w:spacing w:line="233" w:lineRule="exact"/>
        <w:ind w:left="1008" w:firstLine="0"/>
        <w:rPr>
          <w:szCs w:val="24"/>
        </w:rPr>
      </w:pPr>
      <w:r w:rsidRPr="003A3C3E">
        <w:rPr>
          <w:szCs w:val="24"/>
        </w:rPr>
        <w:t>b)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costo);</w:t>
      </w:r>
    </w:p>
    <w:p w:rsidR="00C03201" w:rsidRPr="003A3C3E" w:rsidRDefault="00C03201" w:rsidP="00C65F2A">
      <w:pPr>
        <w:pStyle w:val="Texto"/>
        <w:spacing w:line="233" w:lineRule="exact"/>
        <w:ind w:left="1008" w:firstLine="0"/>
        <w:rPr>
          <w:szCs w:val="24"/>
        </w:rPr>
      </w:pPr>
      <w:r w:rsidRPr="003A3C3E">
        <w:rPr>
          <w:szCs w:val="24"/>
        </w:rPr>
        <w:t>c)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siempre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cubierto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insertarse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usted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certificado”;</w:t>
      </w:r>
    </w:p>
    <w:p w:rsidR="00C03201" w:rsidRPr="003A3C3E" w:rsidRDefault="00C03201" w:rsidP="00C65F2A">
      <w:pPr>
        <w:pStyle w:val="Texto"/>
        <w:spacing w:line="233" w:lineRule="exact"/>
        <w:ind w:left="1008" w:firstLine="0"/>
        <w:rPr>
          <w:szCs w:val="24"/>
        </w:rPr>
      </w:pPr>
      <w:r w:rsidRPr="003A3C3E">
        <w:rPr>
          <w:szCs w:val="24"/>
        </w:rPr>
        <w:t>d)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</w:t>
      </w:r>
      <w:r w:rsidRPr="003A3C3E">
        <w:rPr>
          <w:szCs w:val="24"/>
          <w:u w:val="single"/>
        </w:rPr>
        <w:t>http://www.inai.org.mx</w:t>
      </w:r>
      <w:r w:rsidRPr="003A3C3E">
        <w:rPr>
          <w:szCs w:val="24"/>
        </w:rPr>
        <w:t>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costo);</w:t>
      </w:r>
    </w:p>
    <w:p w:rsidR="00C03201" w:rsidRPr="003A3C3E" w:rsidRDefault="00C03201" w:rsidP="00C65F2A">
      <w:pPr>
        <w:pStyle w:val="Texto"/>
        <w:spacing w:line="233" w:lineRule="exact"/>
        <w:ind w:left="1008" w:firstLine="0"/>
        <w:rPr>
          <w:szCs w:val="24"/>
        </w:rPr>
      </w:pPr>
      <w:r w:rsidRPr="003A3C3E">
        <w:rPr>
          <w:szCs w:val="24"/>
        </w:rPr>
        <w:t>e)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favor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datos: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e.1)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Calle;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e.2)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exterior;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e.3)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interior;</w:t>
      </w:r>
    </w:p>
    <w:p w:rsidR="005B35B7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e.4)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Colonia;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e.5)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Delegación/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e.6)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Código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Postal;</w:t>
      </w:r>
    </w:p>
    <w:p w:rsidR="00C03201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e.7)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3" w:lineRule="exact"/>
        <w:ind w:left="1296" w:firstLine="0"/>
        <w:rPr>
          <w:szCs w:val="24"/>
        </w:rPr>
      </w:pPr>
      <w:r w:rsidRPr="003A3C3E">
        <w:rPr>
          <w:szCs w:val="24"/>
        </w:rPr>
        <w:t>e.8)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País.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escoger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causal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leyenda: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que”: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Confirmó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b)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Modificó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c)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Confirmó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inexistencia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d)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Confirmó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negativa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ello.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negativa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ficta,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resuelto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expresamente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copia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correspondiente;</w:t>
      </w:r>
    </w:p>
    <w:p w:rsidR="005B35B7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Instituto;</w:t>
      </w:r>
    </w:p>
    <w:p w:rsidR="00C03201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opcional: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Teléfono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clave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lada</w:t>
      </w:r>
    </w:p>
    <w:p w:rsidR="005B35B7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225454">
        <w:rPr>
          <w:szCs w:val="24"/>
          <w:lang w:val="es-MX"/>
        </w:rPr>
        <w:t>b)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</w:p>
    <w:p w:rsidR="00C03201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estadísticos: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3A3C3E">
        <w:rPr>
          <w:szCs w:val="24"/>
        </w:rPr>
        <w:lastRenderedPageBreak/>
        <w:t>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Sexo,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opciones:</w:t>
      </w:r>
    </w:p>
    <w:p w:rsidR="00C03201" w:rsidRPr="003A3C3E" w:rsidRDefault="00C03201" w:rsidP="00C65F2A">
      <w:pPr>
        <w:pStyle w:val="Texto"/>
        <w:spacing w:line="240" w:lineRule="exact"/>
        <w:ind w:left="1728" w:hanging="468"/>
        <w:rPr>
          <w:szCs w:val="24"/>
        </w:rPr>
      </w:pPr>
      <w:r w:rsidRPr="003A3C3E">
        <w:rPr>
          <w:szCs w:val="24"/>
        </w:rPr>
        <w:t>a.1.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Femenino</w:t>
      </w:r>
    </w:p>
    <w:p w:rsidR="00C03201" w:rsidRPr="003A3C3E" w:rsidRDefault="00C03201" w:rsidP="00C65F2A">
      <w:pPr>
        <w:pStyle w:val="Texto"/>
        <w:spacing w:line="240" w:lineRule="exact"/>
        <w:ind w:left="1728" w:hanging="468"/>
        <w:rPr>
          <w:szCs w:val="24"/>
        </w:rPr>
      </w:pPr>
      <w:r w:rsidRPr="003A3C3E">
        <w:rPr>
          <w:szCs w:val="24"/>
        </w:rPr>
        <w:t>a.2.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Masculino</w:t>
      </w:r>
    </w:p>
    <w:p w:rsidR="00C03201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3A3C3E">
        <w:rPr>
          <w:szCs w:val="24"/>
        </w:rPr>
        <w:t>b)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(dd/mm/aa);</w:t>
      </w:r>
    </w:p>
    <w:p w:rsidR="005B35B7" w:rsidRPr="003A3C3E" w:rsidRDefault="00C03201" w:rsidP="00C65F2A">
      <w:pPr>
        <w:pStyle w:val="Texto"/>
        <w:spacing w:line="240" w:lineRule="exact"/>
        <w:ind w:left="1440" w:hanging="432"/>
        <w:rPr>
          <w:szCs w:val="24"/>
        </w:rPr>
      </w:pPr>
      <w:r w:rsidRPr="003A3C3E">
        <w:rPr>
          <w:szCs w:val="24"/>
        </w:rPr>
        <w:t>c)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Ocupación;</w:t>
      </w:r>
    </w:p>
    <w:p w:rsidR="00C03201" w:rsidRPr="003A3C3E" w:rsidRDefault="00C03201" w:rsidP="00C65F2A">
      <w:pPr>
        <w:pStyle w:val="Texto"/>
        <w:spacing w:line="24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(ajustes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razonables),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65F2A">
      <w:pPr>
        <w:pStyle w:val="Texto"/>
        <w:spacing w:line="240" w:lineRule="exact"/>
        <w:ind w:left="1008" w:firstLine="0"/>
        <w:rPr>
          <w:szCs w:val="24"/>
        </w:rPr>
      </w:pPr>
      <w:r w:rsidRPr="00225454">
        <w:rPr>
          <w:szCs w:val="24"/>
          <w:lang w:val="es-MX"/>
        </w:rPr>
        <w:t>a)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Lengua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indígena: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lengua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indígena,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40" w:lineRule="exact"/>
        <w:ind w:left="1008" w:firstLine="0"/>
        <w:rPr>
          <w:szCs w:val="24"/>
        </w:rPr>
      </w:pPr>
      <w:r w:rsidRPr="00225454">
        <w:rPr>
          <w:szCs w:val="24"/>
          <w:lang w:val="es-MX"/>
        </w:rPr>
        <w:t>b)</w:t>
      </w:r>
      <w:r w:rsidR="00053206" w:rsidRPr="00225454">
        <w:rPr>
          <w:szCs w:val="24"/>
          <w:lang w:val="es-MX"/>
        </w:rPr>
        <w:tab/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cronológico;</w:t>
      </w:r>
    </w:p>
    <w:p w:rsidR="005B35B7" w:rsidRPr="003A3C3E" w:rsidRDefault="00C03201" w:rsidP="00C65F2A">
      <w:pPr>
        <w:pStyle w:val="Texto"/>
        <w:spacing w:line="240" w:lineRule="exact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resuelto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5B35B7" w:rsidRPr="003A3C3E" w:rsidRDefault="00C03201" w:rsidP="00C65F2A">
      <w:pPr>
        <w:pStyle w:val="Texto"/>
        <w:spacing w:line="240" w:lineRule="exact"/>
        <w:rPr>
          <w:szCs w:val="24"/>
        </w:rPr>
      </w:pPr>
      <w:r w:rsidRPr="003A3C3E">
        <w:rPr>
          <w:b/>
          <w:szCs w:val="24"/>
        </w:rPr>
        <w:t>Nonagésimo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capturarlo,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antecede,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acompañándolo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efecto.</w:t>
      </w:r>
    </w:p>
    <w:p w:rsidR="005B35B7" w:rsidRPr="003A3C3E" w:rsidRDefault="00C03201" w:rsidP="00C65F2A">
      <w:pPr>
        <w:pStyle w:val="Texto"/>
        <w:spacing w:line="223" w:lineRule="exact"/>
        <w:rPr>
          <w:szCs w:val="24"/>
        </w:rPr>
      </w:pPr>
      <w:r w:rsidRPr="003A3C3E">
        <w:rPr>
          <w:b/>
          <w:szCs w:val="24"/>
        </w:rPr>
        <w:t>Centésimo.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estricto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alfabético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lleguen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diariamente,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aptitud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examinar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procedencia.</w:t>
      </w:r>
    </w:p>
    <w:p w:rsidR="005B35B7" w:rsidRPr="003A3C3E" w:rsidRDefault="00C03201" w:rsidP="00C65F2A">
      <w:pPr>
        <w:pStyle w:val="Texto"/>
        <w:spacing w:line="223" w:lineRule="exact"/>
        <w:rPr>
          <w:szCs w:val="24"/>
        </w:rPr>
      </w:pP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cuáles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envío.</w:t>
      </w:r>
    </w:p>
    <w:p w:rsidR="005B35B7" w:rsidRPr="003A3C3E" w:rsidRDefault="00C03201" w:rsidP="00C65F2A">
      <w:pPr>
        <w:pStyle w:val="Texto"/>
        <w:spacing w:line="223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características: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requisitos,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cinco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Desahogada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ocasión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período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convenga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cinco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Admitido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traslado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justificado;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manifestar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convenga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aportar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pertinentes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período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días;</w:t>
      </w:r>
    </w:p>
    <w:p w:rsidR="00C03201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Concluidos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cambiar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resolución”;</w:t>
      </w:r>
    </w:p>
    <w:p w:rsidR="005B35B7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resuelto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Instituto:</w:t>
      </w:r>
    </w:p>
    <w:p w:rsidR="00C03201" w:rsidRPr="003A3C3E" w:rsidRDefault="00C03201" w:rsidP="00C65F2A">
      <w:pPr>
        <w:pStyle w:val="Texto"/>
        <w:spacing w:line="223" w:lineRule="exact"/>
        <w:ind w:left="1440" w:hanging="432"/>
        <w:rPr>
          <w:szCs w:val="24"/>
        </w:rPr>
      </w:pPr>
      <w:r w:rsidRPr="003A3C3E">
        <w:rPr>
          <w:szCs w:val="24"/>
        </w:rPr>
        <w:t>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inconformidad;</w:t>
      </w:r>
    </w:p>
    <w:p w:rsidR="00C03201" w:rsidRPr="003A3C3E" w:rsidRDefault="00C03201" w:rsidP="00C65F2A">
      <w:pPr>
        <w:pStyle w:val="Texto"/>
        <w:spacing w:line="223" w:lineRule="exact"/>
        <w:ind w:left="1440" w:hanging="432"/>
        <w:rPr>
          <w:szCs w:val="24"/>
        </w:rPr>
      </w:pPr>
      <w:r w:rsidRPr="003A3C3E">
        <w:rPr>
          <w:szCs w:val="24"/>
        </w:rPr>
        <w:t>b)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Sobresee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inconformidad;</w:t>
      </w:r>
    </w:p>
    <w:p w:rsidR="00C03201" w:rsidRPr="003A3C3E" w:rsidRDefault="00C03201" w:rsidP="00C65F2A">
      <w:pPr>
        <w:pStyle w:val="Texto"/>
        <w:spacing w:line="223" w:lineRule="exact"/>
        <w:ind w:left="1440" w:hanging="432"/>
        <w:rPr>
          <w:szCs w:val="24"/>
        </w:rPr>
      </w:pPr>
      <w:r w:rsidRPr="003A3C3E">
        <w:rPr>
          <w:szCs w:val="24"/>
        </w:rPr>
        <w:t>c)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garante;</w:t>
      </w:r>
    </w:p>
    <w:p w:rsidR="00C03201" w:rsidRPr="003A3C3E" w:rsidRDefault="00C03201" w:rsidP="00C65F2A">
      <w:pPr>
        <w:pStyle w:val="Texto"/>
        <w:spacing w:line="223" w:lineRule="exact"/>
        <w:ind w:left="1440" w:hanging="432"/>
        <w:rPr>
          <w:szCs w:val="24"/>
        </w:rPr>
      </w:pPr>
      <w:r w:rsidRPr="003A3C3E">
        <w:rPr>
          <w:szCs w:val="24"/>
        </w:rPr>
        <w:t>d)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Revoca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</w:p>
    <w:p w:rsidR="005B35B7" w:rsidRPr="003A3C3E" w:rsidRDefault="00C03201" w:rsidP="00C65F2A">
      <w:pPr>
        <w:pStyle w:val="Texto"/>
        <w:spacing w:line="223" w:lineRule="exact"/>
        <w:ind w:left="1440" w:hanging="432"/>
        <w:rPr>
          <w:szCs w:val="24"/>
        </w:rPr>
      </w:pPr>
      <w:r w:rsidRPr="003A3C3E">
        <w:rPr>
          <w:szCs w:val="24"/>
        </w:rPr>
        <w:t>e)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</w:p>
    <w:p w:rsidR="005B35B7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interesado;</w:t>
      </w:r>
    </w:p>
    <w:p w:rsidR="005B35B7" w:rsidRPr="003A3C3E" w:rsidRDefault="00C03201" w:rsidP="00C65F2A">
      <w:pPr>
        <w:pStyle w:val="Texto"/>
        <w:spacing w:line="22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obligado.</w:t>
      </w:r>
    </w:p>
    <w:p w:rsidR="00C03201" w:rsidRPr="000730A0" w:rsidRDefault="00C03201" w:rsidP="00C65F2A">
      <w:pPr>
        <w:pStyle w:val="Texto"/>
        <w:spacing w:line="223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IV</w:t>
      </w:r>
    </w:p>
    <w:p w:rsidR="005B35B7" w:rsidRPr="000730A0" w:rsidRDefault="00C03201" w:rsidP="00C65F2A">
      <w:pPr>
        <w:pStyle w:val="Texto"/>
        <w:spacing w:line="223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FACULTAD DE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FACULTAD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DE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ATRACCIÓN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RECURSOS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REVISIÓN</w:t>
      </w:r>
    </w:p>
    <w:p w:rsidR="005B35B7" w:rsidRPr="003A3C3E" w:rsidRDefault="00C03201" w:rsidP="00C65F2A">
      <w:pPr>
        <w:pStyle w:val="Texto"/>
        <w:spacing w:line="223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tramitación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requisitar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“Atracción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Revisión”.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requisitados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“Atracción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Revisión”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interpuestos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peticiones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recibieron.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estudio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preliminar.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="0086398B">
        <w:rPr>
          <w:szCs w:val="24"/>
        </w:rPr>
        <w:t>envíe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incompletos,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estudio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preliminar,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ventana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procesal.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estudio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preliminar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Comisionado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avisarle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estudio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computados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Coordinación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susceptible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atraído,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someterlo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S</w:t>
      </w:r>
      <w:r w:rsidR="0086398B">
        <w:rPr>
          <w:szCs w:val="24"/>
        </w:rPr>
        <w:t>ó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pasado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susceptible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atracción.</w:t>
      </w:r>
    </w:p>
    <w:p w:rsidR="005B35B7" w:rsidRPr="003A3C3E" w:rsidRDefault="00C03201" w:rsidP="00C65F2A">
      <w:pPr>
        <w:pStyle w:val="Texto"/>
        <w:spacing w:line="224" w:lineRule="exact"/>
        <w:rPr>
          <w:b/>
          <w:szCs w:val="24"/>
        </w:rPr>
      </w:pPr>
      <w:r w:rsidRPr="003A3C3E">
        <w:rPr>
          <w:b/>
          <w:szCs w:val="24"/>
        </w:rPr>
        <w:lastRenderedPageBreak/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24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computados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acuerdo.</w:t>
      </w:r>
    </w:p>
    <w:p w:rsidR="00C03201" w:rsidRPr="000730A0" w:rsidRDefault="00C03201" w:rsidP="00C65F2A">
      <w:pPr>
        <w:pStyle w:val="Texto"/>
        <w:spacing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TÍTULO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CUARTO</w:t>
      </w:r>
    </w:p>
    <w:p w:rsidR="005B35B7" w:rsidRPr="000730A0" w:rsidRDefault="00C03201" w:rsidP="00C65F2A">
      <w:pPr>
        <w:pStyle w:val="Texto"/>
        <w:spacing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PORTALES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OBLIGACIONES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C03201" w:rsidRPr="000730A0" w:rsidRDefault="00C03201" w:rsidP="00C65F2A">
      <w:pPr>
        <w:pStyle w:val="Texto"/>
        <w:spacing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</w:t>
      </w:r>
    </w:p>
    <w:p w:rsidR="005B35B7" w:rsidRPr="000730A0" w:rsidRDefault="00C03201" w:rsidP="00C65F2A">
      <w:pPr>
        <w:pStyle w:val="Texto"/>
        <w:spacing w:line="22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GENERALIDADES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PORTALES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OBLIGACIONES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gobierno,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atiendan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24" w:lineRule="exact"/>
        <w:rPr>
          <w:szCs w:val="24"/>
        </w:rPr>
      </w:pPr>
      <w:r w:rsidRPr="003A3C3E">
        <w:rPr>
          <w:szCs w:val="24"/>
        </w:rPr>
        <w:t>Adicionalmente,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brindará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C03201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MÉTODOS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CARGA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INFORMACIÓN</w:t>
        </w:r>
      </w:smartTag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métodos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web,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xml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web.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SIPOT,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infraestructura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buscador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indexar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contenido.</w:t>
      </w:r>
    </w:p>
    <w:p w:rsidR="00C03201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III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VERIFICACIￓN DE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VERIFICACIÓN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DE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LAS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OBLIGACIONES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vigilarán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publiquen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concordancia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espacio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reporten,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evaluación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vigilancia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también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lastRenderedPageBreak/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dictamen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C03201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IV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DENUNCIA POR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DENUNCIA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POR</w:t>
        </w:r>
      </w:smartTag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INCUMPLIMIENTO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LAS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OBLIGACIONES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TRANSPARENCIA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denunciar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denuncias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</w:p>
    <w:p w:rsidR="00C03201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denuncias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incorporar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vínculo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página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principal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fácil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personas.</w:t>
      </w:r>
    </w:p>
    <w:p w:rsidR="00C03201" w:rsidRPr="000730A0" w:rsidRDefault="0086398B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TÍ</w:t>
      </w:r>
      <w:r w:rsidR="00C03201" w:rsidRPr="000730A0">
        <w:rPr>
          <w:b/>
          <w:szCs w:val="24"/>
        </w:rPr>
        <w:t>TULO</w:t>
      </w:r>
      <w:r w:rsidR="00ED0846" w:rsidRPr="000730A0">
        <w:rPr>
          <w:b/>
          <w:szCs w:val="24"/>
        </w:rPr>
        <w:t xml:space="preserve"> </w:t>
      </w:r>
      <w:r w:rsidR="00C03201" w:rsidRPr="000730A0">
        <w:rPr>
          <w:b/>
          <w:szCs w:val="24"/>
        </w:rPr>
        <w:t>QUINTO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COMUNICACIÓN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ENTRE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ORGANISMOS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GARANTES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Y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SUJETOS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OBLIGADOS</w:t>
      </w:r>
    </w:p>
    <w:p w:rsidR="00C03201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GENERALIDADES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COMUNICACIÓN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ENTRE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ORGANISMOS</w:t>
      </w:r>
      <w:r w:rsidR="003A2090">
        <w:rPr>
          <w:b/>
          <w:szCs w:val="24"/>
        </w:rPr>
        <w:t xml:space="preserve"> </w:t>
      </w:r>
      <w:r w:rsidRPr="000730A0">
        <w:rPr>
          <w:b/>
          <w:szCs w:val="24"/>
        </w:rPr>
        <w:t>GARANTES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Y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SUJETOS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OBLIGADOS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a.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Enviar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b.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Practicar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c.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d.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Consultas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</w:p>
    <w:p w:rsidR="00C03201" w:rsidRPr="000730A0" w:rsidRDefault="00C03201" w:rsidP="00C65F2A">
      <w:pPr>
        <w:pStyle w:val="Texto"/>
        <w:spacing w:line="23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II</w:t>
      </w:r>
    </w:p>
    <w:p w:rsidR="005B35B7" w:rsidRPr="000730A0" w:rsidRDefault="00C03201" w:rsidP="00C65F2A">
      <w:pPr>
        <w:pStyle w:val="Texto"/>
        <w:spacing w:line="234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DEL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SISTEMA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COMUNICACIÓN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ENTRE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ORGANISMOS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GARANTES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Y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SUJETOS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OBLIGADOS</w:t>
      </w:r>
    </w:p>
    <w:p w:rsidR="005B35B7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sustanciación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denuncia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comunicados.</w:t>
      </w:r>
    </w:p>
    <w:p w:rsidR="005B35B7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5B35B7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forma: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“Envío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“Envío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comunicados”;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“Programa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Pr="003A3C3E">
        <w:rPr>
          <w:szCs w:val="24"/>
        </w:rPr>
        <w:t>”.</w:t>
      </w:r>
    </w:p>
    <w:p w:rsidR="00C03201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constante;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límite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C03201" w:rsidRPr="003A3C3E" w:rsidRDefault="00C03201" w:rsidP="00C65F2A">
      <w:pPr>
        <w:pStyle w:val="Texto"/>
        <w:spacing w:line="234" w:lineRule="exact"/>
        <w:ind w:firstLine="0"/>
        <w:jc w:val="center"/>
        <w:rPr>
          <w:b/>
        </w:rPr>
      </w:pPr>
      <w:r w:rsidRPr="003A3C3E">
        <w:rPr>
          <w:b/>
        </w:rPr>
        <w:t>SECCIÓN</w:t>
      </w:r>
      <w:r w:rsidR="00ED0846" w:rsidRPr="003A3C3E">
        <w:rPr>
          <w:b/>
        </w:rPr>
        <w:t xml:space="preserve"> </w:t>
      </w:r>
      <w:r w:rsidRPr="003A3C3E">
        <w:rPr>
          <w:b/>
        </w:rPr>
        <w:t>I</w:t>
      </w:r>
    </w:p>
    <w:p w:rsidR="005B35B7" w:rsidRPr="003A3C3E" w:rsidRDefault="00C03201" w:rsidP="00C65F2A">
      <w:pPr>
        <w:pStyle w:val="Texto"/>
        <w:spacing w:line="234" w:lineRule="exact"/>
        <w:ind w:firstLine="0"/>
        <w:jc w:val="center"/>
        <w:rPr>
          <w:b/>
        </w:rPr>
      </w:pPr>
      <w:r w:rsidRPr="003A3C3E">
        <w:rPr>
          <w:b/>
        </w:rPr>
        <w:t>DEL</w:t>
      </w:r>
      <w:r w:rsidR="00ED0846" w:rsidRPr="003A3C3E">
        <w:rPr>
          <w:b/>
        </w:rPr>
        <w:t xml:space="preserve"> </w:t>
      </w:r>
      <w:r w:rsidRPr="003A3C3E">
        <w:rPr>
          <w:b/>
        </w:rPr>
        <w:t>ENVÍO</w:t>
      </w:r>
      <w:r w:rsidR="00ED0846" w:rsidRPr="003A3C3E">
        <w:rPr>
          <w:b/>
        </w:rPr>
        <w:t xml:space="preserve"> </w:t>
      </w: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COMUNICADOS</w:t>
      </w:r>
      <w:r w:rsidR="00ED0846" w:rsidRPr="003A3C3E">
        <w:rPr>
          <w:b/>
        </w:rPr>
        <w:t xml:space="preserve"> </w:t>
      </w:r>
      <w:r w:rsidRPr="003A3C3E">
        <w:rPr>
          <w:b/>
        </w:rPr>
        <w:t>Y</w:t>
      </w:r>
      <w:r w:rsidR="00ED0846" w:rsidRPr="003A3C3E">
        <w:rPr>
          <w:b/>
        </w:rPr>
        <w:t xml:space="preserve"> </w:t>
      </w:r>
      <w:r w:rsidRPr="003A3C3E">
        <w:rPr>
          <w:b/>
        </w:rPr>
        <w:t>ACTUACIONES</w:t>
      </w:r>
    </w:p>
    <w:p w:rsidR="005B35B7" w:rsidRPr="003A3C3E" w:rsidRDefault="00C03201" w:rsidP="00C65F2A">
      <w:pPr>
        <w:pStyle w:val="Texto"/>
        <w:spacing w:line="234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acudir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consecutivo,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excluyentes,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garante;</w:t>
      </w:r>
    </w:p>
    <w:p w:rsidR="00C03201" w:rsidRPr="003A3C3E" w:rsidRDefault="00C03201" w:rsidP="00C65F2A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“otros”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encontrado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“otros”,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excluyentes,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numeral;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denominada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“otros”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encontrado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elegida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“otros”,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desplegará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resumida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500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incluyendo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“Ñ”;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Word,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PDF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Excel.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botón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“Cargar”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clic,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encontrará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botón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“Enviar”,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clic,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capacidad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cargar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requiera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envío,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</w:t>
      </w:r>
      <w:r w:rsidRPr="003A3C3E">
        <w:rPr>
          <w:szCs w:val="24"/>
        </w:rPr>
        <w:t>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ventana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leyendas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enviado”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“La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enviada”,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ventana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ventana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párrafo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anterior.</w:t>
      </w:r>
    </w:p>
    <w:p w:rsidR="00C03201" w:rsidRPr="003A3C3E" w:rsidRDefault="00C03201" w:rsidP="00C65F2A">
      <w:pPr>
        <w:pStyle w:val="Texto"/>
        <w:ind w:firstLine="0"/>
        <w:jc w:val="center"/>
        <w:rPr>
          <w:b/>
        </w:rPr>
      </w:pPr>
      <w:r w:rsidRPr="003A3C3E">
        <w:rPr>
          <w:b/>
        </w:rPr>
        <w:t>SECCIÓN</w:t>
      </w:r>
      <w:r w:rsidR="00ED0846" w:rsidRPr="003A3C3E">
        <w:rPr>
          <w:b/>
        </w:rPr>
        <w:t xml:space="preserve"> </w:t>
      </w:r>
      <w:r w:rsidRPr="003A3C3E">
        <w:rPr>
          <w:b/>
        </w:rPr>
        <w:t>II</w:t>
      </w:r>
    </w:p>
    <w:p w:rsidR="005B35B7" w:rsidRPr="003A3C3E" w:rsidRDefault="00C03201" w:rsidP="00C65F2A">
      <w:pPr>
        <w:pStyle w:val="Texto"/>
        <w:ind w:firstLine="0"/>
        <w:jc w:val="center"/>
        <w:rPr>
          <w:b/>
        </w:rPr>
      </w:pP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smartTag w:uri="urn:schemas-microsoft-com:office:smarttags" w:element="PersonName">
        <w:smartTagPr>
          <w:attr w:name="ProductID" w:val="LA RECEPCIￓN DE"/>
        </w:smartTagPr>
        <w:r w:rsidRPr="003A3C3E">
          <w:rPr>
            <w:b/>
          </w:rPr>
          <w:t>LA</w:t>
        </w:r>
        <w:r w:rsidR="00ED0846" w:rsidRPr="003A3C3E">
          <w:rPr>
            <w:b/>
          </w:rPr>
          <w:t xml:space="preserve"> </w:t>
        </w:r>
        <w:r w:rsidRPr="003A3C3E">
          <w:rPr>
            <w:b/>
          </w:rPr>
          <w:t>RECEPCIÓN</w:t>
        </w:r>
        <w:r w:rsidR="00ED0846" w:rsidRPr="003A3C3E">
          <w:rPr>
            <w:b/>
          </w:rPr>
          <w:t xml:space="preserve"> </w:t>
        </w:r>
        <w:r w:rsidRPr="003A3C3E">
          <w:rPr>
            <w:b/>
          </w:rPr>
          <w:t>DE</w:t>
        </w:r>
      </w:smartTag>
      <w:r w:rsidR="00ED0846" w:rsidRPr="003A3C3E">
        <w:rPr>
          <w:b/>
        </w:rPr>
        <w:t xml:space="preserve"> </w:t>
      </w:r>
      <w:r w:rsidRPr="003A3C3E">
        <w:rPr>
          <w:b/>
        </w:rPr>
        <w:t>COMUNICADOS</w:t>
      </w:r>
      <w:r w:rsidR="00ED0846" w:rsidRPr="003A3C3E">
        <w:rPr>
          <w:b/>
        </w:rPr>
        <w:t xml:space="preserve"> </w:t>
      </w:r>
      <w:r w:rsidRPr="003A3C3E">
        <w:rPr>
          <w:b/>
        </w:rPr>
        <w:t>Y</w:t>
      </w:r>
      <w:r w:rsidR="00ED0846" w:rsidRPr="003A3C3E">
        <w:rPr>
          <w:b/>
        </w:rPr>
        <w:t xml:space="preserve"> </w:t>
      </w:r>
      <w:r w:rsidRPr="003A3C3E">
        <w:rPr>
          <w:b/>
        </w:rPr>
        <w:t>ACTUACIONES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leer.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marcando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sombreando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rojo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leídos.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leído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ventana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lectura.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confirmado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características: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consecutivo,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generar;</w:t>
      </w:r>
    </w:p>
    <w:p w:rsidR="00C03201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leyenda: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(denominación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día---,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---,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año---,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las----horas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----minutos.”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mencionado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éste.</w:t>
      </w:r>
    </w:p>
    <w:p w:rsidR="005B35B7" w:rsidRPr="003A3C3E" w:rsidRDefault="00C03201" w:rsidP="00C65F2A">
      <w:pPr>
        <w:pStyle w:val="Texto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estimen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pertinente,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imprimir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enviado.</w:t>
      </w:r>
    </w:p>
    <w:p w:rsidR="00C03201" w:rsidRPr="003A3C3E" w:rsidRDefault="00C03201" w:rsidP="00C65F2A">
      <w:pPr>
        <w:pStyle w:val="Texto"/>
        <w:spacing w:line="238" w:lineRule="exact"/>
        <w:ind w:firstLine="0"/>
        <w:jc w:val="center"/>
        <w:rPr>
          <w:b/>
        </w:rPr>
      </w:pPr>
      <w:r w:rsidRPr="003A3C3E">
        <w:rPr>
          <w:b/>
        </w:rPr>
        <w:t>SECCIÓN</w:t>
      </w:r>
      <w:r w:rsidR="00ED0846" w:rsidRPr="003A3C3E">
        <w:rPr>
          <w:b/>
        </w:rPr>
        <w:t xml:space="preserve"> </w:t>
      </w:r>
      <w:r w:rsidRPr="003A3C3E">
        <w:rPr>
          <w:b/>
        </w:rPr>
        <w:t>III</w:t>
      </w:r>
    </w:p>
    <w:p w:rsidR="005B35B7" w:rsidRPr="003A3C3E" w:rsidRDefault="00C03201" w:rsidP="00C65F2A">
      <w:pPr>
        <w:pStyle w:val="Texto"/>
        <w:spacing w:line="238" w:lineRule="exact"/>
        <w:ind w:firstLine="0"/>
        <w:jc w:val="center"/>
        <w:rPr>
          <w:b/>
        </w:rPr>
      </w:pP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smartTag w:uri="urn:schemas-microsoft-com:office:smarttags" w:element="PersonName">
        <w:smartTagPr>
          <w:attr w:name="ProductID" w:val="LA PIZARRA DE"/>
        </w:smartTagPr>
        <w:r w:rsidRPr="003A3C3E">
          <w:rPr>
            <w:b/>
          </w:rPr>
          <w:t>LA</w:t>
        </w:r>
        <w:r w:rsidR="00ED0846" w:rsidRPr="003A3C3E">
          <w:rPr>
            <w:b/>
          </w:rPr>
          <w:t xml:space="preserve"> </w:t>
        </w:r>
        <w:r w:rsidRPr="003A3C3E">
          <w:rPr>
            <w:b/>
          </w:rPr>
          <w:t>PIZARRA</w:t>
        </w:r>
        <w:r w:rsidR="00ED0846" w:rsidRPr="003A3C3E">
          <w:rPr>
            <w:b/>
          </w:rPr>
          <w:t xml:space="preserve"> </w:t>
        </w:r>
        <w:r w:rsidRPr="003A3C3E">
          <w:rPr>
            <w:b/>
          </w:rPr>
          <w:t>DE</w:t>
        </w:r>
      </w:smartTag>
      <w:r w:rsidR="00ED0846" w:rsidRPr="003A3C3E">
        <w:rPr>
          <w:b/>
        </w:rPr>
        <w:t xml:space="preserve"> </w:t>
      </w:r>
      <w:r w:rsidRPr="003A3C3E">
        <w:rPr>
          <w:b/>
        </w:rPr>
        <w:t>AVANCES</w:t>
      </w:r>
      <w:r w:rsidR="00ED0846" w:rsidRPr="003A3C3E">
        <w:rPr>
          <w:b/>
        </w:rPr>
        <w:t xml:space="preserve"> </w:t>
      </w:r>
      <w:r w:rsidRPr="003A3C3E">
        <w:rPr>
          <w:b/>
        </w:rPr>
        <w:t>DEL</w:t>
      </w:r>
      <w:r w:rsidR="00ED0846" w:rsidRPr="003A3C3E">
        <w:rPr>
          <w:b/>
        </w:rPr>
        <w:t xml:space="preserve"> </w:t>
      </w:r>
      <w:r w:rsidRPr="003A3C3E">
        <w:rPr>
          <w:b/>
        </w:rPr>
        <w:t>PROGRAMA</w:t>
      </w:r>
      <w:r w:rsidR="00ED0846" w:rsidRPr="003A3C3E">
        <w:rPr>
          <w:b/>
        </w:rPr>
        <w:t xml:space="preserve"> </w:t>
      </w:r>
      <w:r w:rsidRPr="003A3C3E">
        <w:rPr>
          <w:b/>
        </w:rPr>
        <w:t>NACIONAL</w:t>
      </w:r>
      <w:r w:rsidR="00ED0846" w:rsidRPr="003A3C3E">
        <w:rPr>
          <w:b/>
        </w:rPr>
        <w:t xml:space="preserve"> </w:t>
      </w: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TRANSPARENCIA</w:t>
      </w:r>
      <w:r w:rsidR="00ED0846" w:rsidRPr="003A3C3E">
        <w:rPr>
          <w:b/>
        </w:rPr>
        <w:t xml:space="preserve"> </w:t>
      </w:r>
      <w:r w:rsidR="003A2090">
        <w:rPr>
          <w:b/>
        </w:rPr>
        <w:t xml:space="preserve"> </w:t>
      </w:r>
      <w:r w:rsidRPr="003A3C3E">
        <w:rPr>
          <w:b/>
        </w:rPr>
        <w:t>Y</w:t>
      </w:r>
      <w:r w:rsidR="00ED0846" w:rsidRPr="003A3C3E">
        <w:rPr>
          <w:b/>
        </w:rPr>
        <w:t xml:space="preserve"> </w:t>
      </w:r>
      <w:r w:rsidRPr="003A3C3E">
        <w:rPr>
          <w:b/>
        </w:rPr>
        <w:t>ACCESO</w:t>
      </w:r>
      <w:r w:rsidR="00ED0846" w:rsidRPr="003A3C3E">
        <w:rPr>
          <w:b/>
        </w:rPr>
        <w:t xml:space="preserve"> </w:t>
      </w:r>
      <w:r w:rsidRPr="003A3C3E">
        <w:rPr>
          <w:b/>
        </w:rPr>
        <w:t>A</w:t>
      </w:r>
      <w:r w:rsidR="00ED0846" w:rsidRPr="003A3C3E">
        <w:rPr>
          <w:b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b/>
          </w:rPr>
          <w:t>LA</w:t>
        </w:r>
        <w:r w:rsidR="00ED0846" w:rsidRPr="003A3C3E">
          <w:rPr>
            <w:b/>
          </w:rPr>
          <w:t xml:space="preserve"> </w:t>
        </w:r>
        <w:r w:rsidRPr="003A3C3E">
          <w:rPr>
            <w:b/>
          </w:rPr>
          <w:t>INFORMACIÓN</w:t>
        </w:r>
      </w:smartTag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pizarra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avances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SICOM.</w:t>
      </w:r>
    </w:p>
    <w:p w:rsidR="00C03201" w:rsidRPr="003A3C3E" w:rsidRDefault="00C03201" w:rsidP="00C65F2A">
      <w:pPr>
        <w:pStyle w:val="Texto"/>
        <w:spacing w:line="238" w:lineRule="exact"/>
        <w:ind w:firstLine="0"/>
        <w:jc w:val="center"/>
        <w:rPr>
          <w:b/>
        </w:rPr>
      </w:pPr>
      <w:r w:rsidRPr="003A3C3E">
        <w:rPr>
          <w:b/>
        </w:rPr>
        <w:t>SECCIÓN</w:t>
      </w:r>
      <w:r w:rsidR="00ED0846" w:rsidRPr="003A3C3E">
        <w:rPr>
          <w:b/>
        </w:rPr>
        <w:t xml:space="preserve"> </w:t>
      </w:r>
      <w:r w:rsidRPr="003A3C3E">
        <w:rPr>
          <w:b/>
        </w:rPr>
        <w:t>IV</w:t>
      </w:r>
    </w:p>
    <w:p w:rsidR="005B35B7" w:rsidRPr="003A3C3E" w:rsidRDefault="00C03201" w:rsidP="00C65F2A">
      <w:pPr>
        <w:pStyle w:val="Texto"/>
        <w:spacing w:line="238" w:lineRule="exact"/>
        <w:ind w:firstLine="0"/>
        <w:jc w:val="center"/>
        <w:rPr>
          <w:b/>
        </w:rPr>
      </w:pP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LAS</w:t>
      </w:r>
      <w:r w:rsidR="00ED0846" w:rsidRPr="003A3C3E">
        <w:rPr>
          <w:b/>
        </w:rPr>
        <w:t xml:space="preserve"> </w:t>
      </w:r>
      <w:r w:rsidRPr="003A3C3E">
        <w:rPr>
          <w:b/>
        </w:rPr>
        <w:t>NOTIFICACIONES</w:t>
      </w:r>
      <w:r w:rsidR="00ED0846" w:rsidRPr="003A3C3E">
        <w:rPr>
          <w:b/>
        </w:rPr>
        <w:t xml:space="preserve"> </w:t>
      </w:r>
      <w:r w:rsidRPr="003A3C3E">
        <w:rPr>
          <w:b/>
        </w:rPr>
        <w:t>Y</w:t>
      </w:r>
      <w:r w:rsidR="00ED0846" w:rsidRPr="003A3C3E">
        <w:rPr>
          <w:b/>
        </w:rPr>
        <w:t xml:space="preserve"> </w:t>
      </w:r>
      <w:r w:rsidRPr="003A3C3E">
        <w:rPr>
          <w:b/>
        </w:rPr>
        <w:t>PROMOCIONES</w:t>
      </w:r>
      <w:r w:rsidR="00ED0846" w:rsidRPr="003A3C3E">
        <w:rPr>
          <w:b/>
        </w:rPr>
        <w:t xml:space="preserve"> </w:t>
      </w:r>
      <w:r w:rsidRPr="003A3C3E">
        <w:rPr>
          <w:b/>
        </w:rPr>
        <w:t>ENTRE</w:t>
      </w:r>
      <w:r w:rsidR="00ED0846" w:rsidRPr="003A3C3E">
        <w:rPr>
          <w:b/>
        </w:rPr>
        <w:t xml:space="preserve"> </w:t>
      </w:r>
      <w:r w:rsidRPr="003A3C3E">
        <w:rPr>
          <w:b/>
        </w:rPr>
        <w:t>LOS</w:t>
      </w:r>
      <w:r w:rsidR="00ED0846" w:rsidRPr="003A3C3E">
        <w:rPr>
          <w:b/>
        </w:rPr>
        <w:t xml:space="preserve"> </w:t>
      </w:r>
      <w:r w:rsidRPr="003A3C3E">
        <w:rPr>
          <w:b/>
        </w:rPr>
        <w:t>ORGANISMOS</w:t>
      </w:r>
      <w:r w:rsidR="00ED0846" w:rsidRPr="003A3C3E">
        <w:rPr>
          <w:b/>
        </w:rPr>
        <w:t xml:space="preserve"> </w:t>
      </w:r>
      <w:r w:rsidRPr="003A3C3E">
        <w:rPr>
          <w:b/>
        </w:rPr>
        <w:t>GARANTES</w:t>
      </w:r>
      <w:r w:rsidR="00ED0846" w:rsidRPr="003A3C3E">
        <w:rPr>
          <w:b/>
        </w:rPr>
        <w:t xml:space="preserve"> </w:t>
      </w:r>
      <w:r w:rsidRPr="003A3C3E">
        <w:rPr>
          <w:b/>
        </w:rPr>
        <w:t>Y</w:t>
      </w:r>
      <w:r w:rsidR="00ED0846" w:rsidRPr="003A3C3E">
        <w:rPr>
          <w:b/>
        </w:rPr>
        <w:t xml:space="preserve"> </w:t>
      </w:r>
      <w:r w:rsidRPr="003A3C3E">
        <w:rPr>
          <w:b/>
        </w:rPr>
        <w:t>SUJETOS</w:t>
      </w:r>
      <w:r w:rsidR="00ED0846" w:rsidRPr="003A3C3E">
        <w:rPr>
          <w:b/>
        </w:rPr>
        <w:t xml:space="preserve"> </w:t>
      </w:r>
      <w:r w:rsidRPr="003A3C3E">
        <w:rPr>
          <w:b/>
        </w:rPr>
        <w:t>OBLIGADOS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practicar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de: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acumulación;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Citaciones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Citaciones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audiencias;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Resoluciones,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podrán: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Rendir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alegatos;</w:t>
      </w:r>
    </w:p>
    <w:p w:rsidR="00C03201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5B35B7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3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Otras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promociones.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límite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tablero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semáforos.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smartTag w:uri="urn:schemas-microsoft-com:office:smarttags" w:element="PersonName">
        <w:smartTagPr>
          <w:attr w:name="ProductID" w:val="la Uni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Unidad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alcance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actuaciones”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cuestión.</w:t>
      </w:r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“Remitir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cumplimiento”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SICOM,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continuar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conducentes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lograr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resolución.</w:t>
      </w:r>
    </w:p>
    <w:p w:rsidR="00C03201" w:rsidRPr="000730A0" w:rsidRDefault="0086398B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TÍ</w:t>
      </w:r>
      <w:r w:rsidR="00C03201" w:rsidRPr="000730A0">
        <w:rPr>
          <w:b/>
          <w:szCs w:val="24"/>
        </w:rPr>
        <w:t>TULO</w:t>
      </w:r>
      <w:r w:rsidR="00ED0846" w:rsidRPr="000730A0">
        <w:rPr>
          <w:b/>
          <w:szCs w:val="24"/>
        </w:rPr>
        <w:t xml:space="preserve"> </w:t>
      </w:r>
      <w:r w:rsidR="00C03201" w:rsidRPr="000730A0">
        <w:rPr>
          <w:b/>
          <w:szCs w:val="24"/>
        </w:rPr>
        <w:t>SEXTO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TERPRETACIￓ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INTERPRETACIÓN</w:t>
        </w:r>
      </w:smartTag>
    </w:p>
    <w:p w:rsidR="00C03201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CAPÍTULO</w:t>
      </w:r>
      <w:r w:rsidR="00ED0846" w:rsidRPr="000730A0">
        <w:rPr>
          <w:b/>
          <w:szCs w:val="24"/>
        </w:rPr>
        <w:t xml:space="preserve"> </w:t>
      </w:r>
      <w:r w:rsidRPr="000730A0">
        <w:rPr>
          <w:b/>
          <w:szCs w:val="24"/>
        </w:rPr>
        <w:t>ÚNICO</w:t>
      </w:r>
    </w:p>
    <w:p w:rsidR="005B35B7" w:rsidRPr="000730A0" w:rsidRDefault="00C03201" w:rsidP="00C65F2A">
      <w:pPr>
        <w:pStyle w:val="Texto"/>
        <w:spacing w:line="238" w:lineRule="exact"/>
        <w:ind w:firstLine="0"/>
        <w:jc w:val="center"/>
        <w:rPr>
          <w:b/>
          <w:szCs w:val="24"/>
        </w:rPr>
      </w:pPr>
      <w:r w:rsidRPr="000730A0">
        <w:rPr>
          <w:b/>
          <w:szCs w:val="24"/>
        </w:rPr>
        <w:t>DE</w:t>
      </w:r>
      <w:r w:rsidR="00ED0846" w:rsidRPr="000730A0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TERPRETACIￓN"/>
        </w:smartTagPr>
        <w:r w:rsidRPr="000730A0">
          <w:rPr>
            <w:b/>
            <w:szCs w:val="24"/>
          </w:rPr>
          <w:t>LA</w:t>
        </w:r>
        <w:r w:rsidR="00ED0846" w:rsidRPr="000730A0">
          <w:rPr>
            <w:b/>
            <w:szCs w:val="24"/>
          </w:rPr>
          <w:t xml:space="preserve"> </w:t>
        </w:r>
        <w:r w:rsidRPr="000730A0">
          <w:rPr>
            <w:b/>
            <w:szCs w:val="24"/>
          </w:rPr>
          <w:t>INTERPRETACIÓN</w:t>
        </w:r>
      </w:smartTag>
    </w:p>
    <w:p w:rsidR="005B35B7" w:rsidRPr="003A3C3E" w:rsidRDefault="00C03201" w:rsidP="00C65F2A">
      <w:pPr>
        <w:pStyle w:val="Texto"/>
        <w:spacing w:line="238" w:lineRule="exact"/>
        <w:rPr>
          <w:szCs w:val="24"/>
        </w:rPr>
      </w:pPr>
      <w:r w:rsidRPr="003A3C3E">
        <w:rPr>
          <w:b/>
          <w:szCs w:val="24"/>
        </w:rPr>
        <w:t>Centésimo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mismos.</w:t>
      </w:r>
    </w:p>
    <w:p w:rsidR="005B35B7" w:rsidRPr="003A3C3E" w:rsidRDefault="00C03201" w:rsidP="00C65F2A">
      <w:pPr>
        <w:pStyle w:val="ANOTACION"/>
        <w:spacing w:line="250" w:lineRule="exact"/>
      </w:pPr>
      <w:r w:rsidRPr="003A3C3E">
        <w:t>TRANSITORIOS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Federación.</w:t>
        </w:r>
      </w:smartTag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Título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país,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gobierno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Administración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interconectados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aquélla,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interconectados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="0086398B">
        <w:rPr>
          <w:szCs w:val="24"/>
        </w:rPr>
        <w:t>é</w:t>
      </w:r>
      <w:r w:rsidRPr="003A3C3E">
        <w:rPr>
          <w:szCs w:val="24"/>
        </w:rPr>
        <w:t>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szCs w:val="24"/>
        </w:rPr>
        <w:lastRenderedPageBreak/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evaluará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definirá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substituir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inconformidades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etapa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detentan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otorgar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interconecten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población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70,000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habitantes,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General.</w:t>
        </w:r>
      </w:smartTag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ingresan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5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2016,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susceptibles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atraídos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INAI.</w:t>
      </w:r>
    </w:p>
    <w:p w:rsidR="005B35B7" w:rsidRPr="003A3C3E" w:rsidRDefault="00C03201" w:rsidP="00C65F2A">
      <w:pPr>
        <w:pStyle w:val="Texto"/>
        <w:spacing w:line="250" w:lineRule="exact"/>
        <w:rPr>
          <w:szCs w:val="24"/>
        </w:rPr>
      </w:pP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apruebe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SISAI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SIGEMI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cancelación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impugnación,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5B35B7" w:rsidRPr="003A3C3E" w:rsidRDefault="00C03201" w:rsidP="00C65F2A">
      <w:pPr>
        <w:pStyle w:val="Texto"/>
        <w:spacing w:line="250" w:lineRule="exact"/>
      </w:pP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acordó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Ciudad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México,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D30C7B" w:rsidRPr="003A3C3E" w:rsidRDefault="00D30C7B" w:rsidP="00C65F2A">
      <w:pPr>
        <w:pStyle w:val="texto0"/>
        <w:spacing w:line="250" w:lineRule="exact"/>
      </w:pPr>
      <w:smartTag w:uri="urn:schemas-microsoft-com:office:smarttags" w:element="PersonName">
        <w:smartTagPr>
          <w:attr w:name="ProductID" w:val="La Presidenta"/>
        </w:smartTagPr>
        <w:r w:rsidRPr="003A3C3E">
          <w:t>La Presidenta</w:t>
        </w:r>
      </w:smartTag>
      <w:r w:rsidRPr="003A3C3E">
        <w:t xml:space="preserve">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 de Datos Personales, </w:t>
      </w:r>
      <w:r w:rsidRPr="003A3C3E">
        <w:rPr>
          <w:b/>
        </w:rPr>
        <w:t xml:space="preserve">Ximena Puente de </w:t>
      </w:r>
      <w:smartTag w:uri="urn:schemas-microsoft-com:office:smarttags" w:element="PersonName">
        <w:smartTagPr>
          <w:attr w:name="ProductID" w:val="la Mora.- R￺brica.-"/>
        </w:smartTagPr>
        <w:r w:rsidRPr="003A3C3E">
          <w:rPr>
            <w:b/>
          </w:rPr>
          <w:t>la Mora</w:t>
        </w:r>
        <w:r w:rsidRPr="003A3C3E">
          <w:t>.- Rúbrica.-</w:t>
        </w:r>
      </w:smartTag>
      <w:r w:rsidRPr="003A3C3E">
        <w:t xml:space="preserve"> El Secretario Ejecutivo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</w:t>
      </w:r>
      <w:r w:rsidR="003A2090">
        <w:t xml:space="preserve"> </w:t>
      </w:r>
      <w:r w:rsidRPr="003A3C3E">
        <w:t xml:space="preserve">de Datos Personales, </w:t>
      </w:r>
      <w:r w:rsidRPr="003A3C3E">
        <w:rPr>
          <w:b/>
        </w:rPr>
        <w:t>Federico Guzmán Tamayo</w:t>
      </w:r>
      <w:r w:rsidRPr="003A3C3E">
        <w:t>.- Rúbrica.</w:t>
      </w:r>
    </w:p>
    <w:sectPr w:rsidR="00D30C7B" w:rsidRPr="003A3C3E" w:rsidSect="00CB7B23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B8A" w:rsidRDefault="00FB6B8A">
      <w:r>
        <w:separator/>
      </w:r>
    </w:p>
  </w:endnote>
  <w:endnote w:type="continuationSeparator" w:id="0">
    <w:p w:rsidR="00FB6B8A" w:rsidRDefault="00FB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B8A" w:rsidRDefault="00FB6B8A">
      <w:r>
        <w:separator/>
      </w:r>
    </w:p>
  </w:footnote>
  <w:footnote w:type="continuationSeparator" w:id="0">
    <w:p w:rsidR="00FB6B8A" w:rsidRDefault="00FB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 xml:space="preserve">     (Tercera Sección)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>Miércoles 4 de mayo de 2016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 xml:space="preserve">(Tercera Sección)     </w:t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1"/>
    <w:rsid w:val="00007D5B"/>
    <w:rsid w:val="00023FDE"/>
    <w:rsid w:val="00025505"/>
    <w:rsid w:val="00030FA7"/>
    <w:rsid w:val="000468AF"/>
    <w:rsid w:val="00046AF3"/>
    <w:rsid w:val="00047AFF"/>
    <w:rsid w:val="00053206"/>
    <w:rsid w:val="000643A3"/>
    <w:rsid w:val="00070CDB"/>
    <w:rsid w:val="000730A0"/>
    <w:rsid w:val="0008366A"/>
    <w:rsid w:val="00083B96"/>
    <w:rsid w:val="00085CFF"/>
    <w:rsid w:val="00090755"/>
    <w:rsid w:val="000934C4"/>
    <w:rsid w:val="000B3DC6"/>
    <w:rsid w:val="000B42E5"/>
    <w:rsid w:val="000B698E"/>
    <w:rsid w:val="000C50D4"/>
    <w:rsid w:val="000C632A"/>
    <w:rsid w:val="000D1E9D"/>
    <w:rsid w:val="000E6BF1"/>
    <w:rsid w:val="000F0FA3"/>
    <w:rsid w:val="000F3ABE"/>
    <w:rsid w:val="000F706A"/>
    <w:rsid w:val="0010703B"/>
    <w:rsid w:val="001303A7"/>
    <w:rsid w:val="00140A5C"/>
    <w:rsid w:val="00155A7E"/>
    <w:rsid w:val="001574EC"/>
    <w:rsid w:val="00161929"/>
    <w:rsid w:val="00163AE3"/>
    <w:rsid w:val="001642EF"/>
    <w:rsid w:val="00173E9D"/>
    <w:rsid w:val="001748E8"/>
    <w:rsid w:val="00176B02"/>
    <w:rsid w:val="00181964"/>
    <w:rsid w:val="00191051"/>
    <w:rsid w:val="00195422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23894"/>
    <w:rsid w:val="00225454"/>
    <w:rsid w:val="0025082C"/>
    <w:rsid w:val="00254852"/>
    <w:rsid w:val="00255299"/>
    <w:rsid w:val="00282554"/>
    <w:rsid w:val="00285246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1F41"/>
    <w:rsid w:val="002C3644"/>
    <w:rsid w:val="002D1831"/>
    <w:rsid w:val="002D476D"/>
    <w:rsid w:val="002E0094"/>
    <w:rsid w:val="002E142E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4010B"/>
    <w:rsid w:val="00357A6B"/>
    <w:rsid w:val="0036410B"/>
    <w:rsid w:val="003656C6"/>
    <w:rsid w:val="00373DFE"/>
    <w:rsid w:val="0039202C"/>
    <w:rsid w:val="003958AA"/>
    <w:rsid w:val="003967FE"/>
    <w:rsid w:val="003A09A3"/>
    <w:rsid w:val="003A2090"/>
    <w:rsid w:val="003A3C3E"/>
    <w:rsid w:val="003B2214"/>
    <w:rsid w:val="003B46F2"/>
    <w:rsid w:val="003C5EB9"/>
    <w:rsid w:val="003D3A40"/>
    <w:rsid w:val="003D6457"/>
    <w:rsid w:val="003E5783"/>
    <w:rsid w:val="003E7472"/>
    <w:rsid w:val="00404A47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3942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1F79"/>
    <w:rsid w:val="00534337"/>
    <w:rsid w:val="00534A44"/>
    <w:rsid w:val="0053581A"/>
    <w:rsid w:val="00535845"/>
    <w:rsid w:val="0054345D"/>
    <w:rsid w:val="005438AB"/>
    <w:rsid w:val="00543991"/>
    <w:rsid w:val="0054733E"/>
    <w:rsid w:val="005523D8"/>
    <w:rsid w:val="0055349C"/>
    <w:rsid w:val="00567317"/>
    <w:rsid w:val="005724B9"/>
    <w:rsid w:val="005934EB"/>
    <w:rsid w:val="005A0268"/>
    <w:rsid w:val="005A0954"/>
    <w:rsid w:val="005B35B7"/>
    <w:rsid w:val="005C4019"/>
    <w:rsid w:val="005C75DE"/>
    <w:rsid w:val="005D3024"/>
    <w:rsid w:val="005D4388"/>
    <w:rsid w:val="005D7D14"/>
    <w:rsid w:val="005F4AC0"/>
    <w:rsid w:val="00600E97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2324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37781"/>
    <w:rsid w:val="00741ABD"/>
    <w:rsid w:val="00746FC8"/>
    <w:rsid w:val="007570C1"/>
    <w:rsid w:val="007578BE"/>
    <w:rsid w:val="00793D07"/>
    <w:rsid w:val="00797AB4"/>
    <w:rsid w:val="00797DCB"/>
    <w:rsid w:val="007A0956"/>
    <w:rsid w:val="007B670E"/>
    <w:rsid w:val="007D00B8"/>
    <w:rsid w:val="007D0C3B"/>
    <w:rsid w:val="007D286A"/>
    <w:rsid w:val="00816C4D"/>
    <w:rsid w:val="0082344E"/>
    <w:rsid w:val="00827CE1"/>
    <w:rsid w:val="0083080F"/>
    <w:rsid w:val="00832E88"/>
    <w:rsid w:val="008412BC"/>
    <w:rsid w:val="00842BE6"/>
    <w:rsid w:val="00842FB8"/>
    <w:rsid w:val="0086398B"/>
    <w:rsid w:val="008651ED"/>
    <w:rsid w:val="00875A59"/>
    <w:rsid w:val="00877B39"/>
    <w:rsid w:val="008918DC"/>
    <w:rsid w:val="008922B8"/>
    <w:rsid w:val="00895521"/>
    <w:rsid w:val="0089558E"/>
    <w:rsid w:val="008A0F8C"/>
    <w:rsid w:val="008A23F3"/>
    <w:rsid w:val="008B5BD2"/>
    <w:rsid w:val="008B7CB9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9F4A03"/>
    <w:rsid w:val="00A12CE7"/>
    <w:rsid w:val="00A201A0"/>
    <w:rsid w:val="00A240AF"/>
    <w:rsid w:val="00A31E9B"/>
    <w:rsid w:val="00A333DC"/>
    <w:rsid w:val="00A53D31"/>
    <w:rsid w:val="00A56418"/>
    <w:rsid w:val="00A57DB5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6741"/>
    <w:rsid w:val="00B3769E"/>
    <w:rsid w:val="00B6344F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03201"/>
    <w:rsid w:val="00C05626"/>
    <w:rsid w:val="00C258E4"/>
    <w:rsid w:val="00C4270A"/>
    <w:rsid w:val="00C46F43"/>
    <w:rsid w:val="00C5515A"/>
    <w:rsid w:val="00C563D2"/>
    <w:rsid w:val="00C65F2A"/>
    <w:rsid w:val="00C7152E"/>
    <w:rsid w:val="00C72F0B"/>
    <w:rsid w:val="00C82153"/>
    <w:rsid w:val="00C8415B"/>
    <w:rsid w:val="00C9060E"/>
    <w:rsid w:val="00C91193"/>
    <w:rsid w:val="00C91B84"/>
    <w:rsid w:val="00C96371"/>
    <w:rsid w:val="00C97590"/>
    <w:rsid w:val="00CA0BAE"/>
    <w:rsid w:val="00CA2FDC"/>
    <w:rsid w:val="00CA3BBA"/>
    <w:rsid w:val="00CB318C"/>
    <w:rsid w:val="00CB6995"/>
    <w:rsid w:val="00CB7B23"/>
    <w:rsid w:val="00CC0602"/>
    <w:rsid w:val="00CC39A6"/>
    <w:rsid w:val="00CC71C5"/>
    <w:rsid w:val="00CD6850"/>
    <w:rsid w:val="00CE06BF"/>
    <w:rsid w:val="00CF3B2E"/>
    <w:rsid w:val="00CF6193"/>
    <w:rsid w:val="00D04785"/>
    <w:rsid w:val="00D30C7B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9239E"/>
    <w:rsid w:val="00DA0A97"/>
    <w:rsid w:val="00DB3001"/>
    <w:rsid w:val="00DB4A71"/>
    <w:rsid w:val="00DC4962"/>
    <w:rsid w:val="00DD7E68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72E5"/>
    <w:rsid w:val="00E80A50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D0846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42E31"/>
    <w:rsid w:val="00F512E2"/>
    <w:rsid w:val="00F51E5E"/>
    <w:rsid w:val="00F612F9"/>
    <w:rsid w:val="00F64B32"/>
    <w:rsid w:val="00F70C4B"/>
    <w:rsid w:val="00F76B05"/>
    <w:rsid w:val="00F808C0"/>
    <w:rsid w:val="00F813C5"/>
    <w:rsid w:val="00F83712"/>
    <w:rsid w:val="00F84AC0"/>
    <w:rsid w:val="00F859B1"/>
    <w:rsid w:val="00F85CA3"/>
    <w:rsid w:val="00F95C77"/>
    <w:rsid w:val="00FA672D"/>
    <w:rsid w:val="00FB2AB3"/>
    <w:rsid w:val="00FB6B8A"/>
    <w:rsid w:val="00FC03A2"/>
    <w:rsid w:val="00FC3E3F"/>
    <w:rsid w:val="00FC5DD1"/>
    <w:rsid w:val="00FD0D2C"/>
    <w:rsid w:val="00FD44E8"/>
    <w:rsid w:val="00FD7200"/>
    <w:rsid w:val="00FE0883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B734A-8E90-4E45-BEA4-F3501D6D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03201"/>
    <w:pPr>
      <w:keepNext/>
      <w:keepLines/>
      <w:spacing w:before="40" w:line="259" w:lineRule="atLeast"/>
      <w:outlineLvl w:val="2"/>
    </w:pPr>
    <w:rPr>
      <w:rFonts w:ascii="Cambria" w:hAnsi="Cambria" w:cs="Cambria"/>
      <w:color w:val="00008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Prrafodelista">
    <w:name w:val="List Paragraph"/>
    <w:basedOn w:val="Normal"/>
    <w:qFormat/>
    <w:rsid w:val="00C03201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styleId="NormalWeb">
    <w:name w:val="Normal (Web)"/>
    <w:basedOn w:val="Normal"/>
    <w:rsid w:val="00C03201"/>
    <w:pPr>
      <w:spacing w:before="100" w:after="100"/>
    </w:pPr>
    <w:rPr>
      <w:rFonts w:ascii="Times" w:hAnsi="Times" w:cs="Times"/>
      <w:sz w:val="20"/>
      <w:szCs w:val="20"/>
      <w:lang w:val="es-MX" w:eastAsia="es-MX"/>
    </w:rPr>
  </w:style>
  <w:style w:type="paragraph" w:styleId="Sinespaciado">
    <w:name w:val="No Spacing"/>
    <w:qFormat/>
    <w:rsid w:val="00C03201"/>
    <w:rPr>
      <w:rFonts w:ascii="Verdana" w:hAnsi="Verdana" w:cs="Verdana"/>
      <w:lang w:val="es-ES"/>
    </w:rPr>
  </w:style>
  <w:style w:type="character" w:customStyle="1" w:styleId="Ttulo3Car">
    <w:name w:val="Título 3 Car"/>
    <w:link w:val="Ttulo3"/>
    <w:rsid w:val="00C03201"/>
    <w:rPr>
      <w:rFonts w:ascii="Cambria" w:hAnsi="Cambria" w:cs="Cambria"/>
      <w:color w:val="000080"/>
      <w:sz w:val="24"/>
    </w:rPr>
  </w:style>
  <w:style w:type="character" w:customStyle="1" w:styleId="TextocomentarioCar">
    <w:name w:val="Texto comentario Car"/>
    <w:link w:val="Textocomentario"/>
    <w:rsid w:val="00C03201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rsid w:val="00C03201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C03201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rsid w:val="00C03201"/>
    <w:rPr>
      <w:rFonts w:ascii="Calibri" w:hAnsi="Calibri" w:cs="Calibri"/>
      <w:sz w:val="20"/>
      <w:szCs w:val="20"/>
      <w:lang w:val="es-MX" w:eastAsia="es-MX"/>
    </w:rPr>
  </w:style>
  <w:style w:type="character" w:customStyle="1" w:styleId="TtuloCar">
    <w:name w:val="Título Car"/>
    <w:link w:val="Ttulo"/>
    <w:rsid w:val="00C03201"/>
    <w:rPr>
      <w:rFonts w:ascii="Cambria" w:hAnsi="Cambria" w:cs="Cambria"/>
      <w:color w:val="000080"/>
      <w:spacing w:val="5"/>
      <w:sz w:val="52"/>
    </w:rPr>
  </w:style>
  <w:style w:type="paragraph" w:styleId="Ttulo">
    <w:name w:val="Title"/>
    <w:basedOn w:val="Normal"/>
    <w:next w:val="Normal"/>
    <w:link w:val="TtuloCar"/>
    <w:qFormat/>
    <w:rsid w:val="00C03201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EncabezadoCar">
    <w:name w:val="Encabezado Car"/>
    <w:link w:val="Encabezado"/>
    <w:uiPriority w:val="99"/>
    <w:rsid w:val="005934EB"/>
    <w:rPr>
      <w:sz w:val="24"/>
      <w:szCs w:val="24"/>
      <w:lang w:val="es-ES" w:eastAsia="es-ES"/>
    </w:rPr>
  </w:style>
  <w:style w:type="paragraph" w:customStyle="1" w:styleId="Sumario">
    <w:name w:val="Sumario"/>
    <w:basedOn w:val="Normal"/>
    <w:rsid w:val="003A2090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3A2090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15927</Words>
  <Characters>87601</Characters>
  <Application>Microsoft Office Word</Application>
  <DocSecurity>0</DocSecurity>
  <Lines>730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103322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3</cp:revision>
  <cp:lastPrinted>1601-01-01T00:00:00Z</cp:lastPrinted>
  <dcterms:created xsi:type="dcterms:W3CDTF">2016-05-10T15:39:00Z</dcterms:created>
  <dcterms:modified xsi:type="dcterms:W3CDTF">2016-05-10T15:39:00Z</dcterms:modified>
</cp:coreProperties>
</file>